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19DE6" w14:textId="77777777" w:rsidR="00324FC1" w:rsidRDefault="00324FC1"/>
    <w:p w14:paraId="369371C6" w14:textId="77777777" w:rsidR="00324FC1" w:rsidRDefault="00324FC1"/>
    <w:p w14:paraId="51807E16" w14:textId="77777777" w:rsidR="00324FC1" w:rsidRDefault="00000000">
      <w:r>
        <w:rPr>
          <w:b/>
          <w:color w:val="3F6080"/>
        </w:rPr>
        <w:t>PROJECT PROPOSAL</w:t>
      </w:r>
    </w:p>
    <w:p w14:paraId="497204EF" w14:textId="77777777" w:rsidR="00324FC1" w:rsidRDefault="00000000">
      <w:pPr>
        <w:pStyle w:val="Title"/>
      </w:pPr>
      <w:r>
        <w:t>Pharmaceutical Strategic</w:t>
      </w:r>
      <w:r>
        <w:br/>
        <w:t>Intelligence Tool</w:t>
      </w:r>
    </w:p>
    <w:p w14:paraId="363410BA" w14:textId="77777777" w:rsidR="00324FC1" w:rsidRDefault="00000000">
      <w:r>
        <w:rPr>
          <w:color w:val="3F6080"/>
          <w:sz w:val="30"/>
        </w:rPr>
        <w:t>A public-data, citation-backed therapeutic area intelligence dashboard</w:t>
      </w:r>
    </w:p>
    <w:tbl>
      <w:tblPr>
        <w:tblW w:w="0" w:type="auto"/>
        <w:tblLook w:val="04A0" w:firstRow="1" w:lastRow="0" w:firstColumn="1" w:lastColumn="0" w:noHBand="0" w:noVBand="1"/>
      </w:tblPr>
      <w:tblGrid>
        <w:gridCol w:w="10080"/>
      </w:tblGrid>
      <w:tr w:rsidR="00324FC1" w14:paraId="731132AF" w14:textId="77777777">
        <w:tc>
          <w:tcPr>
            <w:tcW w:w="10080" w:type="dxa"/>
            <w:shd w:val="clear" w:color="auto" w:fill="EAF1F8"/>
          </w:tcPr>
          <w:p w14:paraId="0672897D" w14:textId="77777777" w:rsidR="00324FC1" w:rsidRDefault="00000000">
            <w:pPr>
              <w:spacing w:after="40"/>
            </w:pPr>
            <w:r>
              <w:rPr>
                <w:b/>
                <w:color w:val="0B1F3A"/>
                <w:sz w:val="22"/>
              </w:rPr>
              <w:t>MVP focus: ADCs in oncology | Platform: Streamlit + Python + SQLite | Data backbone: ClinicalTrials.gov | Design principle: no source URL, no claim</w:t>
            </w:r>
          </w:p>
        </w:tc>
      </w:tr>
    </w:tbl>
    <w:p w14:paraId="75D25F34" w14:textId="77777777" w:rsidR="00324FC1" w:rsidRDefault="00324FC1"/>
    <w:p w14:paraId="229B4301" w14:textId="77777777" w:rsidR="00324FC1" w:rsidRDefault="00324FC1"/>
    <w:p w14:paraId="3966539B" w14:textId="77777777" w:rsidR="00324FC1" w:rsidRDefault="00324FC1"/>
    <w:p w14:paraId="25A23DC6" w14:textId="77777777" w:rsidR="00324FC1" w:rsidRDefault="00324FC1"/>
    <w:p w14:paraId="5C288DF3" w14:textId="77777777" w:rsidR="00324FC1" w:rsidRDefault="00324FC1"/>
    <w:p w14:paraId="1ADA85E3" w14:textId="77777777" w:rsidR="00324FC1" w:rsidRDefault="00324FC1"/>
    <w:p w14:paraId="4C4F0A70" w14:textId="77777777" w:rsidR="00324FC1" w:rsidRDefault="00324FC1"/>
    <w:p w14:paraId="0F5054A4" w14:textId="77777777" w:rsidR="00324FC1" w:rsidRDefault="00324FC1"/>
    <w:tbl>
      <w:tblPr>
        <w:tblW w:w="0" w:type="auto"/>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232"/>
        <w:gridCol w:w="6912"/>
      </w:tblGrid>
      <w:tr w:rsidR="00324FC1" w14:paraId="6CA465D4" w14:textId="77777777">
        <w:tc>
          <w:tcPr>
            <w:tcW w:w="2232" w:type="dxa"/>
            <w:shd w:val="clear" w:color="auto" w:fill="F4F7FA"/>
          </w:tcPr>
          <w:p w14:paraId="17CBC4EA" w14:textId="77777777" w:rsidR="00324FC1" w:rsidRDefault="00000000">
            <w:pPr>
              <w:spacing w:after="40"/>
            </w:pPr>
            <w:r>
              <w:rPr>
                <w:b/>
                <w:color w:val="0B1F3A"/>
                <w:sz w:val="18"/>
              </w:rPr>
              <w:t>Prepared for</w:t>
            </w:r>
          </w:p>
        </w:tc>
        <w:tc>
          <w:tcPr>
            <w:tcW w:w="6912" w:type="dxa"/>
          </w:tcPr>
          <w:p w14:paraId="7F4DF45C" w14:textId="77777777" w:rsidR="00324FC1" w:rsidRDefault="00000000">
            <w:pPr>
              <w:spacing w:after="40"/>
            </w:pPr>
            <w:r>
              <w:rPr>
                <w:sz w:val="18"/>
              </w:rPr>
              <w:t>Project portfolio / life sciences strategy demonstration</w:t>
            </w:r>
          </w:p>
        </w:tc>
      </w:tr>
      <w:tr w:rsidR="00324FC1" w14:paraId="5D311479" w14:textId="77777777">
        <w:tc>
          <w:tcPr>
            <w:tcW w:w="2232" w:type="dxa"/>
            <w:shd w:val="clear" w:color="auto" w:fill="F4F7FA"/>
          </w:tcPr>
          <w:p w14:paraId="79E37252" w14:textId="77777777" w:rsidR="00324FC1" w:rsidRDefault="00000000">
            <w:pPr>
              <w:spacing w:after="40"/>
            </w:pPr>
            <w:r>
              <w:rPr>
                <w:b/>
                <w:color w:val="0B1F3A"/>
                <w:sz w:val="18"/>
              </w:rPr>
              <w:t>Prepared by</w:t>
            </w:r>
          </w:p>
        </w:tc>
        <w:tc>
          <w:tcPr>
            <w:tcW w:w="6912" w:type="dxa"/>
          </w:tcPr>
          <w:p w14:paraId="25A59AD1" w14:textId="77777777" w:rsidR="00324FC1" w:rsidRDefault="00000000">
            <w:pPr>
              <w:spacing w:after="40"/>
            </w:pPr>
            <w:r>
              <w:rPr>
                <w:sz w:val="18"/>
              </w:rPr>
              <w:t>Hans</w:t>
            </w:r>
          </w:p>
        </w:tc>
      </w:tr>
      <w:tr w:rsidR="00324FC1" w14:paraId="26F91749" w14:textId="77777777">
        <w:tc>
          <w:tcPr>
            <w:tcW w:w="2232" w:type="dxa"/>
            <w:shd w:val="clear" w:color="auto" w:fill="F4F7FA"/>
          </w:tcPr>
          <w:p w14:paraId="3EEB49E9" w14:textId="77777777" w:rsidR="00324FC1" w:rsidRDefault="00000000">
            <w:pPr>
              <w:spacing w:after="40"/>
            </w:pPr>
            <w:r>
              <w:rPr>
                <w:b/>
                <w:color w:val="0B1F3A"/>
                <w:sz w:val="18"/>
              </w:rPr>
              <w:t>Version</w:t>
            </w:r>
          </w:p>
        </w:tc>
        <w:tc>
          <w:tcPr>
            <w:tcW w:w="6912" w:type="dxa"/>
          </w:tcPr>
          <w:p w14:paraId="637F5552" w14:textId="77777777" w:rsidR="00324FC1" w:rsidRDefault="00000000">
            <w:pPr>
              <w:spacing w:after="40"/>
            </w:pPr>
            <w:r>
              <w:rPr>
                <w:sz w:val="18"/>
              </w:rPr>
              <w:t>Strategic proposal - polished working draft</w:t>
            </w:r>
          </w:p>
        </w:tc>
      </w:tr>
      <w:tr w:rsidR="00324FC1" w14:paraId="36951D3C" w14:textId="77777777">
        <w:tc>
          <w:tcPr>
            <w:tcW w:w="2232" w:type="dxa"/>
            <w:shd w:val="clear" w:color="auto" w:fill="F4F7FA"/>
          </w:tcPr>
          <w:p w14:paraId="3CFF25F5" w14:textId="77777777" w:rsidR="00324FC1" w:rsidRDefault="00000000">
            <w:pPr>
              <w:spacing w:after="40"/>
            </w:pPr>
            <w:r>
              <w:rPr>
                <w:b/>
                <w:color w:val="0B1F3A"/>
                <w:sz w:val="18"/>
              </w:rPr>
              <w:t>Date</w:t>
            </w:r>
          </w:p>
        </w:tc>
        <w:tc>
          <w:tcPr>
            <w:tcW w:w="6912" w:type="dxa"/>
          </w:tcPr>
          <w:p w14:paraId="23600B10" w14:textId="77777777" w:rsidR="00324FC1" w:rsidRDefault="00000000">
            <w:pPr>
              <w:spacing w:after="40"/>
            </w:pPr>
            <w:r>
              <w:rPr>
                <w:sz w:val="18"/>
              </w:rPr>
              <w:t>April 30, 2026</w:t>
            </w:r>
          </w:p>
        </w:tc>
      </w:tr>
    </w:tbl>
    <w:p w14:paraId="118F5806" w14:textId="77777777" w:rsidR="00324FC1" w:rsidRDefault="00000000">
      <w:r>
        <w:br w:type="page"/>
      </w:r>
    </w:p>
    <w:p w14:paraId="43308DC2" w14:textId="77777777" w:rsidR="00324FC1" w:rsidRDefault="00000000">
      <w:pPr>
        <w:pStyle w:val="Heading1"/>
      </w:pPr>
      <w:r>
        <w:lastRenderedPageBreak/>
        <w:t>1. Executive Summary</w:t>
      </w:r>
    </w:p>
    <w:p w14:paraId="38BB326E" w14:textId="77777777" w:rsidR="00324FC1" w:rsidRDefault="00000000">
      <w:r>
        <w:t>This proposal defines a focused Pharmaceutical Strategic Intelligence Tool: a single-page Streamlit application that converts verified public data into a consulting-grade therapeutic area snapshot. The MVP will focus on antibody-drug conjugates (ADCs) in oncology and will help users understand pipeline density, trial velocity, differentiation signals, and upcoming catalysts without relying on unsupported AI-generated claims.</w:t>
      </w:r>
    </w:p>
    <w:p w14:paraId="008A6F78" w14:textId="77777777" w:rsidR="00324FC1" w:rsidRDefault="00000000">
      <w:r>
        <w:t>The project is deliberately scoped to be strategic, realistic, and reliable. It will not attempt to recreate a full enterprise commercial intelligence platform. Instead, it will demonstrate a credible and externally shareable product: a public-data dashboard that turns fragmented clinical, regulatory, and industry signals into a source-linked strategic view.</w:t>
      </w:r>
    </w:p>
    <w:p w14:paraId="59E30956" w14:textId="77777777" w:rsidR="00324FC1" w:rsidRDefault="00000000">
      <w:pPr>
        <w:pStyle w:val="ExecutiveCallout"/>
      </w:pPr>
      <w:r>
        <w:rPr>
          <w:b/>
        </w:rPr>
        <w:t xml:space="preserve">Strategic thesis: </w:t>
      </w:r>
      <w:r>
        <w:t>The winning version of this project is narrower than a multi-agent enterprise system, cleaner than a raw data dashboard, and more reliable than a generic AI summary.</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516"/>
        <w:gridCol w:w="2515"/>
        <w:gridCol w:w="2517"/>
        <w:gridCol w:w="2516"/>
      </w:tblGrid>
      <w:tr w:rsidR="00324FC1" w14:paraId="19E7CA83" w14:textId="77777777">
        <w:trPr>
          <w:jc w:val="center"/>
        </w:trPr>
        <w:tc>
          <w:tcPr>
            <w:tcW w:w="2520" w:type="dxa"/>
            <w:shd w:val="clear" w:color="auto" w:fill="0B1F3A"/>
          </w:tcPr>
          <w:p w14:paraId="75EA11AA" w14:textId="77777777" w:rsidR="00324FC1" w:rsidRDefault="00000000">
            <w:pPr>
              <w:spacing w:after="40"/>
            </w:pPr>
            <w:r>
              <w:rPr>
                <w:b/>
                <w:color w:val="FFFFFF"/>
                <w:sz w:val="16"/>
              </w:rPr>
              <w:t>MVP Question</w:t>
            </w:r>
          </w:p>
        </w:tc>
        <w:tc>
          <w:tcPr>
            <w:tcW w:w="2520" w:type="dxa"/>
            <w:shd w:val="clear" w:color="auto" w:fill="0B1F3A"/>
          </w:tcPr>
          <w:p w14:paraId="2FB4A1DE" w14:textId="77777777" w:rsidR="00324FC1" w:rsidRDefault="00000000">
            <w:pPr>
              <w:spacing w:after="40"/>
            </w:pPr>
            <w:r>
              <w:rPr>
                <w:b/>
                <w:color w:val="FFFFFF"/>
                <w:sz w:val="16"/>
              </w:rPr>
              <w:t>First TA</w:t>
            </w:r>
          </w:p>
        </w:tc>
        <w:tc>
          <w:tcPr>
            <w:tcW w:w="2520" w:type="dxa"/>
            <w:shd w:val="clear" w:color="auto" w:fill="0B1F3A"/>
          </w:tcPr>
          <w:p w14:paraId="3FB285E9" w14:textId="77777777" w:rsidR="00324FC1" w:rsidRDefault="00000000">
            <w:pPr>
              <w:spacing w:after="40"/>
            </w:pPr>
            <w:r>
              <w:rPr>
                <w:b/>
                <w:color w:val="FFFFFF"/>
                <w:sz w:val="16"/>
              </w:rPr>
              <w:t>Core Data Backbone</w:t>
            </w:r>
          </w:p>
        </w:tc>
        <w:tc>
          <w:tcPr>
            <w:tcW w:w="2520" w:type="dxa"/>
            <w:shd w:val="clear" w:color="auto" w:fill="0B1F3A"/>
          </w:tcPr>
          <w:p w14:paraId="3EC80154" w14:textId="77777777" w:rsidR="00324FC1" w:rsidRDefault="00000000">
            <w:pPr>
              <w:spacing w:after="40"/>
            </w:pPr>
            <w:r>
              <w:rPr>
                <w:b/>
                <w:color w:val="FFFFFF"/>
                <w:sz w:val="16"/>
              </w:rPr>
              <w:t>Deployment Target</w:t>
            </w:r>
          </w:p>
        </w:tc>
      </w:tr>
      <w:tr w:rsidR="00324FC1" w14:paraId="71B941A4" w14:textId="77777777">
        <w:trPr>
          <w:jc w:val="center"/>
        </w:trPr>
        <w:tc>
          <w:tcPr>
            <w:tcW w:w="2520" w:type="dxa"/>
          </w:tcPr>
          <w:p w14:paraId="6C50B2A4" w14:textId="77777777" w:rsidR="00324FC1" w:rsidRDefault="00000000">
            <w:pPr>
              <w:spacing w:after="40"/>
            </w:pPr>
            <w:r>
              <w:rPr>
                <w:sz w:val="16"/>
              </w:rPr>
              <w:t>What does the public evidence say about the competitive landscape?</w:t>
            </w:r>
          </w:p>
        </w:tc>
        <w:tc>
          <w:tcPr>
            <w:tcW w:w="2520" w:type="dxa"/>
          </w:tcPr>
          <w:p w14:paraId="6EE2407A" w14:textId="77777777" w:rsidR="00324FC1" w:rsidRDefault="00000000">
            <w:pPr>
              <w:spacing w:after="40"/>
            </w:pPr>
            <w:r>
              <w:rPr>
                <w:sz w:val="16"/>
              </w:rPr>
              <w:t>ADCs in oncology</w:t>
            </w:r>
          </w:p>
        </w:tc>
        <w:tc>
          <w:tcPr>
            <w:tcW w:w="2520" w:type="dxa"/>
          </w:tcPr>
          <w:p w14:paraId="78D06EBF" w14:textId="77777777" w:rsidR="00324FC1" w:rsidRDefault="00000000">
            <w:pPr>
              <w:spacing w:after="40"/>
            </w:pPr>
            <w:r>
              <w:rPr>
                <w:sz w:val="16"/>
              </w:rPr>
              <w:t>ClinicalTrials.gov</w:t>
            </w:r>
          </w:p>
        </w:tc>
        <w:tc>
          <w:tcPr>
            <w:tcW w:w="2520" w:type="dxa"/>
          </w:tcPr>
          <w:p w14:paraId="6F357AE9" w14:textId="77777777" w:rsidR="00324FC1" w:rsidRDefault="00000000">
            <w:pPr>
              <w:spacing w:after="40"/>
            </w:pPr>
            <w:r>
              <w:rPr>
                <w:sz w:val="16"/>
              </w:rPr>
              <w:t>Streamlit Cloud + GitHub</w:t>
            </w:r>
          </w:p>
        </w:tc>
      </w:tr>
    </w:tbl>
    <w:p w14:paraId="6B181A4D" w14:textId="77777777" w:rsidR="00324FC1" w:rsidRDefault="00000000">
      <w:pPr>
        <w:pStyle w:val="Heading1"/>
      </w:pPr>
      <w:r>
        <w:t>2. Strategic Rationale</w:t>
      </w:r>
    </w:p>
    <w:p w14:paraId="16B5E134" w14:textId="77777777" w:rsidR="00324FC1" w:rsidRDefault="00000000">
      <w:r>
        <w:t>Pharmaceutical and biotechnology strategy teams operate in information environments where important signals are public but fragmented. Trial registries, regulatory announcements, company communications, and industry news each provide partial views of the same competitive landscape. The challenge is not merely access to data; it is turning that data into an analytically useful, evidence-backed view.</w:t>
      </w:r>
    </w:p>
    <w:p w14:paraId="5A8D4AA7" w14:textId="77777777" w:rsidR="00324FC1" w:rsidRDefault="00000000">
      <w:r>
        <w:t>For students, job candidates, independent analysts, or small teams, the manual process of building a therapeutic area snapshot is slow and inconsistent. Many public dashboards show raw trial data without strategic interpretation, while many AI summaries sound polished but lack traceability. This project occupies the middle ground: structured analytics plus citation-backed interpretation.</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354"/>
        <w:gridCol w:w="3355"/>
        <w:gridCol w:w="3355"/>
      </w:tblGrid>
      <w:tr w:rsidR="00324FC1" w14:paraId="13731797" w14:textId="77777777">
        <w:trPr>
          <w:jc w:val="center"/>
        </w:trPr>
        <w:tc>
          <w:tcPr>
            <w:tcW w:w="3360" w:type="dxa"/>
            <w:shd w:val="clear" w:color="auto" w:fill="16324F"/>
          </w:tcPr>
          <w:p w14:paraId="7975BC6F" w14:textId="77777777" w:rsidR="00324FC1" w:rsidRDefault="00000000">
            <w:pPr>
              <w:spacing w:after="40"/>
            </w:pPr>
            <w:r>
              <w:rPr>
                <w:b/>
                <w:color w:val="FFFFFF"/>
                <w:sz w:val="16"/>
              </w:rPr>
              <w:t>Strategic Need</w:t>
            </w:r>
          </w:p>
        </w:tc>
        <w:tc>
          <w:tcPr>
            <w:tcW w:w="3360" w:type="dxa"/>
            <w:shd w:val="clear" w:color="auto" w:fill="16324F"/>
          </w:tcPr>
          <w:p w14:paraId="34CAF160" w14:textId="77777777" w:rsidR="00324FC1" w:rsidRDefault="00000000">
            <w:pPr>
              <w:spacing w:after="40"/>
            </w:pPr>
            <w:r>
              <w:rPr>
                <w:b/>
                <w:color w:val="FFFFFF"/>
                <w:sz w:val="16"/>
              </w:rPr>
              <w:t>Current Pain Point</w:t>
            </w:r>
          </w:p>
        </w:tc>
        <w:tc>
          <w:tcPr>
            <w:tcW w:w="3360" w:type="dxa"/>
            <w:shd w:val="clear" w:color="auto" w:fill="16324F"/>
          </w:tcPr>
          <w:p w14:paraId="689ABDE0" w14:textId="77777777" w:rsidR="00324FC1" w:rsidRDefault="00000000">
            <w:pPr>
              <w:spacing w:after="40"/>
            </w:pPr>
            <w:r>
              <w:rPr>
                <w:b/>
                <w:color w:val="FFFFFF"/>
                <w:sz w:val="16"/>
              </w:rPr>
              <w:t>Tool Response</w:t>
            </w:r>
          </w:p>
        </w:tc>
      </w:tr>
      <w:tr w:rsidR="00324FC1" w14:paraId="430FCC35" w14:textId="77777777">
        <w:trPr>
          <w:jc w:val="center"/>
        </w:trPr>
        <w:tc>
          <w:tcPr>
            <w:tcW w:w="3360" w:type="dxa"/>
          </w:tcPr>
          <w:p w14:paraId="415CADD5" w14:textId="77777777" w:rsidR="00324FC1" w:rsidRDefault="00000000">
            <w:pPr>
              <w:spacing w:after="40"/>
            </w:pPr>
            <w:r>
              <w:rPr>
                <w:sz w:val="16"/>
              </w:rPr>
              <w:t>Market crowding</w:t>
            </w:r>
          </w:p>
        </w:tc>
        <w:tc>
          <w:tcPr>
            <w:tcW w:w="3360" w:type="dxa"/>
          </w:tcPr>
          <w:p w14:paraId="1B85A424" w14:textId="77777777" w:rsidR="00324FC1" w:rsidRDefault="00000000">
            <w:pPr>
              <w:spacing w:after="40"/>
            </w:pPr>
            <w:r>
              <w:rPr>
                <w:sz w:val="16"/>
              </w:rPr>
              <w:t>Raw registries are difficult to interpret quickly.</w:t>
            </w:r>
          </w:p>
        </w:tc>
        <w:tc>
          <w:tcPr>
            <w:tcW w:w="3360" w:type="dxa"/>
          </w:tcPr>
          <w:p w14:paraId="70F6B1CC" w14:textId="77777777" w:rsidR="00324FC1" w:rsidRDefault="00000000">
            <w:pPr>
              <w:spacing w:after="40"/>
            </w:pPr>
            <w:r>
              <w:rPr>
                <w:sz w:val="16"/>
              </w:rPr>
              <w:t>Pipeline density views by sponsor, phase, indication, and status.</w:t>
            </w:r>
          </w:p>
        </w:tc>
      </w:tr>
      <w:tr w:rsidR="00324FC1" w14:paraId="3AEC47EB" w14:textId="77777777">
        <w:trPr>
          <w:jc w:val="center"/>
        </w:trPr>
        <w:tc>
          <w:tcPr>
            <w:tcW w:w="3360" w:type="dxa"/>
          </w:tcPr>
          <w:p w14:paraId="5019D2B6" w14:textId="77777777" w:rsidR="00324FC1" w:rsidRDefault="00000000">
            <w:pPr>
              <w:spacing w:after="40"/>
            </w:pPr>
            <w:r>
              <w:rPr>
                <w:sz w:val="16"/>
              </w:rPr>
              <w:t>Momentum tracking</w:t>
            </w:r>
          </w:p>
        </w:tc>
        <w:tc>
          <w:tcPr>
            <w:tcW w:w="3360" w:type="dxa"/>
          </w:tcPr>
          <w:p w14:paraId="09B57892" w14:textId="77777777" w:rsidR="00324FC1" w:rsidRDefault="00000000">
            <w:pPr>
              <w:spacing w:after="40"/>
            </w:pPr>
            <w:r>
              <w:rPr>
                <w:sz w:val="16"/>
              </w:rPr>
              <w:t>Updates and trial timing are spread across records.</w:t>
            </w:r>
          </w:p>
        </w:tc>
        <w:tc>
          <w:tcPr>
            <w:tcW w:w="3360" w:type="dxa"/>
          </w:tcPr>
          <w:p w14:paraId="11DF3476" w14:textId="77777777" w:rsidR="00324FC1" w:rsidRDefault="00000000">
            <w:pPr>
              <w:spacing w:after="40"/>
            </w:pPr>
            <w:r>
              <w:rPr>
                <w:sz w:val="16"/>
              </w:rPr>
              <w:t>Velocity metrics and recent trial activity views.</w:t>
            </w:r>
          </w:p>
        </w:tc>
      </w:tr>
      <w:tr w:rsidR="00324FC1" w14:paraId="0DB8CF4B" w14:textId="77777777">
        <w:trPr>
          <w:jc w:val="center"/>
        </w:trPr>
        <w:tc>
          <w:tcPr>
            <w:tcW w:w="3360" w:type="dxa"/>
          </w:tcPr>
          <w:p w14:paraId="158FCCED" w14:textId="77777777" w:rsidR="00324FC1" w:rsidRDefault="00000000">
            <w:pPr>
              <w:spacing w:after="40"/>
            </w:pPr>
            <w:r>
              <w:rPr>
                <w:sz w:val="16"/>
              </w:rPr>
              <w:t>Differentiation</w:t>
            </w:r>
          </w:p>
        </w:tc>
        <w:tc>
          <w:tcPr>
            <w:tcW w:w="3360" w:type="dxa"/>
          </w:tcPr>
          <w:p w14:paraId="48B56FAC" w14:textId="77777777" w:rsidR="00324FC1" w:rsidRDefault="00000000">
            <w:pPr>
              <w:spacing w:after="40"/>
            </w:pPr>
            <w:r>
              <w:rPr>
                <w:sz w:val="16"/>
              </w:rPr>
              <w:t>Assets are hard to compare across public descriptions.</w:t>
            </w:r>
          </w:p>
        </w:tc>
        <w:tc>
          <w:tcPr>
            <w:tcW w:w="3360" w:type="dxa"/>
          </w:tcPr>
          <w:p w14:paraId="7389EF93" w14:textId="77777777" w:rsidR="00324FC1" w:rsidRDefault="00000000">
            <w:pPr>
              <w:spacing w:after="40"/>
            </w:pPr>
            <w:r>
              <w:rPr>
                <w:sz w:val="16"/>
              </w:rPr>
              <w:t>Structured asset and trial tables with extractable design and mechanism fields.</w:t>
            </w:r>
          </w:p>
        </w:tc>
      </w:tr>
      <w:tr w:rsidR="00324FC1" w14:paraId="74341B85" w14:textId="77777777">
        <w:trPr>
          <w:jc w:val="center"/>
        </w:trPr>
        <w:tc>
          <w:tcPr>
            <w:tcW w:w="3360" w:type="dxa"/>
          </w:tcPr>
          <w:p w14:paraId="05F53183" w14:textId="77777777" w:rsidR="00324FC1" w:rsidRDefault="00000000">
            <w:pPr>
              <w:spacing w:after="40"/>
            </w:pPr>
            <w:r>
              <w:rPr>
                <w:sz w:val="16"/>
              </w:rPr>
              <w:t>Catalyst awareness</w:t>
            </w:r>
          </w:p>
        </w:tc>
        <w:tc>
          <w:tcPr>
            <w:tcW w:w="3360" w:type="dxa"/>
          </w:tcPr>
          <w:p w14:paraId="2A792A16" w14:textId="77777777" w:rsidR="00324FC1" w:rsidRDefault="00000000">
            <w:pPr>
              <w:spacing w:after="40"/>
            </w:pPr>
            <w:r>
              <w:rPr>
                <w:sz w:val="16"/>
              </w:rPr>
              <w:t>Readouts and milestones require manual tracking.</w:t>
            </w:r>
          </w:p>
        </w:tc>
        <w:tc>
          <w:tcPr>
            <w:tcW w:w="3360" w:type="dxa"/>
          </w:tcPr>
          <w:p w14:paraId="05504A03" w14:textId="77777777" w:rsidR="00324FC1" w:rsidRDefault="00000000">
            <w:pPr>
              <w:spacing w:after="40"/>
            </w:pPr>
            <w:r>
              <w:rPr>
                <w:sz w:val="16"/>
              </w:rPr>
              <w:t>Forward-looking catalyst calendar linked to source records.</w:t>
            </w:r>
          </w:p>
        </w:tc>
      </w:tr>
      <w:tr w:rsidR="00324FC1" w14:paraId="5C1CE652" w14:textId="77777777">
        <w:trPr>
          <w:jc w:val="center"/>
        </w:trPr>
        <w:tc>
          <w:tcPr>
            <w:tcW w:w="3360" w:type="dxa"/>
          </w:tcPr>
          <w:p w14:paraId="0E10B3A2" w14:textId="77777777" w:rsidR="00324FC1" w:rsidRDefault="00000000">
            <w:pPr>
              <w:spacing w:after="40"/>
            </w:pPr>
            <w:r>
              <w:rPr>
                <w:sz w:val="16"/>
              </w:rPr>
              <w:t>Trust</w:t>
            </w:r>
          </w:p>
        </w:tc>
        <w:tc>
          <w:tcPr>
            <w:tcW w:w="3360" w:type="dxa"/>
          </w:tcPr>
          <w:p w14:paraId="31C7FA23" w14:textId="77777777" w:rsidR="00324FC1" w:rsidRDefault="00000000">
            <w:pPr>
              <w:spacing w:after="40"/>
            </w:pPr>
            <w:r>
              <w:rPr>
                <w:sz w:val="16"/>
              </w:rPr>
              <w:t>AI summaries may blur evidence and inference.</w:t>
            </w:r>
          </w:p>
        </w:tc>
        <w:tc>
          <w:tcPr>
            <w:tcW w:w="3360" w:type="dxa"/>
          </w:tcPr>
          <w:p w14:paraId="5FD3D19A" w14:textId="77777777" w:rsidR="00324FC1" w:rsidRDefault="00000000">
            <w:pPr>
              <w:spacing w:after="40"/>
            </w:pPr>
            <w:r>
              <w:rPr>
                <w:sz w:val="16"/>
              </w:rPr>
              <w:t>Claim-level URL requirement and evidence table.</w:t>
            </w:r>
          </w:p>
        </w:tc>
      </w:tr>
    </w:tbl>
    <w:p w14:paraId="5BBCCEC6" w14:textId="77777777" w:rsidR="00324FC1" w:rsidRDefault="00000000">
      <w:pPr>
        <w:pStyle w:val="Heading1"/>
      </w:pPr>
      <w:r>
        <w:t>3. Product Vision and Success Criteria</w:t>
      </w:r>
    </w:p>
    <w:p w14:paraId="75556CD9" w14:textId="77777777" w:rsidR="00324FC1" w:rsidRDefault="00000000">
      <w:r>
        <w:t>The product vision is a lightweight but credible strategic intelligence dashboard that a life sciences strategy, market intelligence, business development, or commercial analytics reviewer could understand in under two minutes.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5032"/>
        <w:gridCol w:w="5032"/>
      </w:tblGrid>
      <w:tr w:rsidR="00324FC1" w14:paraId="1FE61C6C" w14:textId="77777777">
        <w:trPr>
          <w:jc w:val="center"/>
        </w:trPr>
        <w:tc>
          <w:tcPr>
            <w:tcW w:w="5040" w:type="dxa"/>
            <w:shd w:val="clear" w:color="auto" w:fill="0B1F3A"/>
          </w:tcPr>
          <w:p w14:paraId="693DC8C0" w14:textId="77777777" w:rsidR="00324FC1" w:rsidRDefault="00000000">
            <w:pPr>
              <w:spacing w:after="40"/>
            </w:pPr>
            <w:r>
              <w:rPr>
                <w:b/>
                <w:color w:val="FFFFFF"/>
                <w:sz w:val="16"/>
              </w:rPr>
              <w:t>Capability Demonstrated</w:t>
            </w:r>
          </w:p>
        </w:tc>
        <w:tc>
          <w:tcPr>
            <w:tcW w:w="5040" w:type="dxa"/>
            <w:shd w:val="clear" w:color="auto" w:fill="0B1F3A"/>
          </w:tcPr>
          <w:p w14:paraId="024B5AC6" w14:textId="77777777" w:rsidR="00324FC1" w:rsidRDefault="00000000">
            <w:pPr>
              <w:spacing w:after="40"/>
            </w:pPr>
            <w:r>
              <w:rPr>
                <w:b/>
                <w:color w:val="FFFFFF"/>
                <w:sz w:val="16"/>
              </w:rPr>
              <w:t>What the MVP Must Prove</w:t>
            </w:r>
          </w:p>
        </w:tc>
      </w:tr>
      <w:tr w:rsidR="00324FC1" w14:paraId="544158BC" w14:textId="77777777">
        <w:trPr>
          <w:jc w:val="center"/>
        </w:trPr>
        <w:tc>
          <w:tcPr>
            <w:tcW w:w="5040" w:type="dxa"/>
          </w:tcPr>
          <w:p w14:paraId="59DD2171" w14:textId="77777777" w:rsidR="00324FC1" w:rsidRDefault="00000000">
            <w:pPr>
              <w:spacing w:after="40"/>
            </w:pPr>
            <w:r>
              <w:rPr>
                <w:b/>
                <w:color w:val="0B1F3A"/>
                <w:sz w:val="16"/>
              </w:rPr>
              <w:t>Life sciences strategy judgment</w:t>
            </w:r>
          </w:p>
        </w:tc>
        <w:tc>
          <w:tcPr>
            <w:tcW w:w="5040" w:type="dxa"/>
          </w:tcPr>
          <w:p w14:paraId="1358E477" w14:textId="77777777" w:rsidR="00324FC1" w:rsidRDefault="00000000">
            <w:pPr>
              <w:spacing w:after="40"/>
            </w:pPr>
            <w:r>
              <w:rPr>
                <w:sz w:val="16"/>
              </w:rPr>
              <w:t>The dashboard asks commercially relevant questions about crowding, momentum, differentiation, and catalysts.</w:t>
            </w:r>
          </w:p>
        </w:tc>
      </w:tr>
      <w:tr w:rsidR="00324FC1" w14:paraId="4243D864" w14:textId="77777777">
        <w:trPr>
          <w:jc w:val="center"/>
        </w:trPr>
        <w:tc>
          <w:tcPr>
            <w:tcW w:w="5040" w:type="dxa"/>
          </w:tcPr>
          <w:p w14:paraId="69F60447" w14:textId="77777777" w:rsidR="00324FC1" w:rsidRDefault="00000000">
            <w:pPr>
              <w:spacing w:after="40"/>
            </w:pPr>
            <w:r>
              <w:rPr>
                <w:b/>
                <w:color w:val="0B1F3A"/>
                <w:sz w:val="16"/>
              </w:rPr>
              <w:t>Technical execution</w:t>
            </w:r>
          </w:p>
        </w:tc>
        <w:tc>
          <w:tcPr>
            <w:tcW w:w="5040" w:type="dxa"/>
          </w:tcPr>
          <w:p w14:paraId="1E0F0BC9" w14:textId="77777777" w:rsidR="00324FC1" w:rsidRDefault="00000000">
            <w:pPr>
              <w:spacing w:after="40"/>
            </w:pPr>
            <w:r>
              <w:rPr>
                <w:sz w:val="16"/>
              </w:rPr>
              <w:t>The app integrates public APIs, caching, pandas transformations, SQLite storage, and Streamlit UI components.</w:t>
            </w:r>
          </w:p>
        </w:tc>
      </w:tr>
      <w:tr w:rsidR="00324FC1" w14:paraId="6C455DBC" w14:textId="77777777">
        <w:trPr>
          <w:jc w:val="center"/>
        </w:trPr>
        <w:tc>
          <w:tcPr>
            <w:tcW w:w="5040" w:type="dxa"/>
          </w:tcPr>
          <w:p w14:paraId="3FD13AE9" w14:textId="77777777" w:rsidR="00324FC1" w:rsidRDefault="00000000">
            <w:pPr>
              <w:spacing w:after="40"/>
            </w:pPr>
            <w:r>
              <w:rPr>
                <w:b/>
                <w:color w:val="0B1F3A"/>
                <w:sz w:val="16"/>
              </w:rPr>
              <w:t>Reliability discipline</w:t>
            </w:r>
          </w:p>
        </w:tc>
        <w:tc>
          <w:tcPr>
            <w:tcW w:w="5040" w:type="dxa"/>
          </w:tcPr>
          <w:p w14:paraId="58CDDA87" w14:textId="77777777" w:rsidR="00324FC1" w:rsidRDefault="00000000">
            <w:pPr>
              <w:spacing w:after="40"/>
            </w:pPr>
            <w:r>
              <w:rPr>
                <w:sz w:val="16"/>
              </w:rPr>
              <w:t>Every displayed strategic claim traces to a valid public source URL.</w:t>
            </w:r>
          </w:p>
        </w:tc>
      </w:tr>
      <w:tr w:rsidR="00324FC1" w14:paraId="051C9BBC" w14:textId="77777777">
        <w:trPr>
          <w:jc w:val="center"/>
        </w:trPr>
        <w:tc>
          <w:tcPr>
            <w:tcW w:w="5040" w:type="dxa"/>
          </w:tcPr>
          <w:p w14:paraId="3C29D654" w14:textId="77777777" w:rsidR="00324FC1" w:rsidRDefault="00000000">
            <w:pPr>
              <w:spacing w:after="40"/>
            </w:pPr>
            <w:r>
              <w:rPr>
                <w:b/>
                <w:color w:val="0B1F3A"/>
                <w:sz w:val="16"/>
              </w:rPr>
              <w:t>Portfolio credibility</w:t>
            </w:r>
          </w:p>
        </w:tc>
        <w:tc>
          <w:tcPr>
            <w:tcW w:w="5040" w:type="dxa"/>
          </w:tcPr>
          <w:p w14:paraId="2C10370C" w14:textId="77777777" w:rsidR="00324FC1" w:rsidRDefault="00000000">
            <w:pPr>
              <w:spacing w:after="40"/>
            </w:pPr>
            <w:r>
              <w:rPr>
                <w:sz w:val="16"/>
              </w:rPr>
              <w:t>The GitHub README, deployed app, and user experience clearly communicate what the project does and does not claim.</w:t>
            </w:r>
          </w:p>
        </w:tc>
      </w:tr>
    </w:tbl>
    <w:p w14:paraId="358F1CA4" w14:textId="77777777" w:rsidR="00324FC1" w:rsidRDefault="00000000">
      <w:pPr>
        <w:pStyle w:val="Heading1"/>
      </w:pPr>
      <w:r>
        <w:lastRenderedPageBreak/>
        <w:t>4. MVP Scope</w:t>
      </w:r>
    </w:p>
    <w:p w14:paraId="4E4A92E6" w14:textId="77777777" w:rsidR="00324FC1" w:rsidRDefault="00000000">
      <w:r>
        <w:t>The MVP should remain intentionally narrow. The first version should do one thing well: create a reliable public-data snapshot of ADCs in oncology.</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5032"/>
        <w:gridCol w:w="5032"/>
      </w:tblGrid>
      <w:tr w:rsidR="00324FC1" w14:paraId="7DBF910C" w14:textId="77777777">
        <w:trPr>
          <w:jc w:val="center"/>
        </w:trPr>
        <w:tc>
          <w:tcPr>
            <w:tcW w:w="5040" w:type="dxa"/>
            <w:shd w:val="clear" w:color="auto" w:fill="16324F"/>
          </w:tcPr>
          <w:p w14:paraId="1DF25ACC" w14:textId="77777777" w:rsidR="00324FC1" w:rsidRDefault="00000000">
            <w:pPr>
              <w:spacing w:after="40"/>
            </w:pPr>
            <w:r>
              <w:rPr>
                <w:b/>
                <w:color w:val="FFFFFF"/>
                <w:sz w:val="18"/>
              </w:rPr>
              <w:t>In Scope</w:t>
            </w:r>
          </w:p>
        </w:tc>
        <w:tc>
          <w:tcPr>
            <w:tcW w:w="5040" w:type="dxa"/>
            <w:shd w:val="clear" w:color="auto" w:fill="6B7280"/>
          </w:tcPr>
          <w:p w14:paraId="75920465" w14:textId="77777777" w:rsidR="00324FC1" w:rsidRDefault="00000000">
            <w:pPr>
              <w:spacing w:after="40"/>
            </w:pPr>
            <w:r>
              <w:rPr>
                <w:b/>
                <w:color w:val="FFFFFF"/>
                <w:sz w:val="18"/>
              </w:rPr>
              <w:t>Out of Scope</w:t>
            </w:r>
          </w:p>
        </w:tc>
      </w:tr>
      <w:tr w:rsidR="00324FC1" w14:paraId="0095F006" w14:textId="77777777">
        <w:trPr>
          <w:jc w:val="center"/>
        </w:trPr>
        <w:tc>
          <w:tcPr>
            <w:tcW w:w="5040" w:type="dxa"/>
          </w:tcPr>
          <w:p w14:paraId="392C6B07" w14:textId="77777777" w:rsidR="00324FC1" w:rsidRDefault="00000000">
            <w:pPr>
              <w:spacing w:after="40"/>
            </w:pPr>
            <w:r>
              <w:rPr>
                <w:sz w:val="16"/>
              </w:rPr>
              <w:t>- One therapeutic area: ADCs in oncology</w:t>
            </w:r>
          </w:p>
        </w:tc>
        <w:tc>
          <w:tcPr>
            <w:tcW w:w="5040" w:type="dxa"/>
          </w:tcPr>
          <w:p w14:paraId="7812B425" w14:textId="77777777" w:rsidR="00324FC1" w:rsidRDefault="00000000">
            <w:pPr>
              <w:spacing w:after="40"/>
            </w:pPr>
            <w:r>
              <w:rPr>
                <w:sz w:val="16"/>
              </w:rPr>
              <w:t>- Proprietary or paywalled data</w:t>
            </w:r>
          </w:p>
        </w:tc>
      </w:tr>
      <w:tr w:rsidR="00324FC1" w14:paraId="4DD06E56" w14:textId="77777777">
        <w:trPr>
          <w:jc w:val="center"/>
        </w:trPr>
        <w:tc>
          <w:tcPr>
            <w:tcW w:w="5040" w:type="dxa"/>
          </w:tcPr>
          <w:p w14:paraId="1325BDF8" w14:textId="77777777" w:rsidR="00324FC1" w:rsidRDefault="00000000">
            <w:pPr>
              <w:spacing w:after="40"/>
            </w:pPr>
            <w:r>
              <w:rPr>
                <w:sz w:val="16"/>
              </w:rPr>
              <w:t>- ClinicalTrials.gov ingestion and normalization</w:t>
            </w:r>
          </w:p>
        </w:tc>
        <w:tc>
          <w:tcPr>
            <w:tcW w:w="5040" w:type="dxa"/>
          </w:tcPr>
          <w:p w14:paraId="29F597E1" w14:textId="77777777" w:rsidR="00324FC1" w:rsidRDefault="00000000">
            <w:pPr>
              <w:spacing w:after="40"/>
            </w:pPr>
            <w:r>
              <w:rPr>
                <w:sz w:val="16"/>
              </w:rPr>
              <w:t>- Internal company data</w:t>
            </w:r>
          </w:p>
        </w:tc>
      </w:tr>
      <w:tr w:rsidR="00324FC1" w14:paraId="2B8EE752" w14:textId="77777777">
        <w:trPr>
          <w:jc w:val="center"/>
        </w:trPr>
        <w:tc>
          <w:tcPr>
            <w:tcW w:w="5040" w:type="dxa"/>
          </w:tcPr>
          <w:p w14:paraId="5025C866" w14:textId="77777777" w:rsidR="00324FC1" w:rsidRDefault="00000000">
            <w:pPr>
              <w:spacing w:after="40"/>
            </w:pPr>
            <w:r>
              <w:rPr>
                <w:sz w:val="16"/>
              </w:rPr>
              <w:t>- FDA / EMA overlay where technically straightforward</w:t>
            </w:r>
          </w:p>
        </w:tc>
        <w:tc>
          <w:tcPr>
            <w:tcW w:w="5040" w:type="dxa"/>
          </w:tcPr>
          <w:p w14:paraId="5485C978" w14:textId="77777777" w:rsidR="00324FC1" w:rsidRDefault="00000000">
            <w:pPr>
              <w:spacing w:after="40"/>
            </w:pPr>
            <w:r>
              <w:rPr>
                <w:sz w:val="16"/>
              </w:rPr>
              <w:t>- Revenue forecasting</w:t>
            </w:r>
          </w:p>
        </w:tc>
      </w:tr>
      <w:tr w:rsidR="00324FC1" w14:paraId="3F611AA5" w14:textId="77777777">
        <w:trPr>
          <w:jc w:val="center"/>
        </w:trPr>
        <w:tc>
          <w:tcPr>
            <w:tcW w:w="5040" w:type="dxa"/>
          </w:tcPr>
          <w:p w14:paraId="244D0FC1" w14:textId="77777777" w:rsidR="00324FC1" w:rsidRDefault="00000000">
            <w:pPr>
              <w:spacing w:after="40"/>
            </w:pPr>
            <w:r>
              <w:rPr>
                <w:sz w:val="16"/>
              </w:rPr>
              <w:t>- Optional Endpoints / STAT RSS overlay</w:t>
            </w:r>
          </w:p>
        </w:tc>
        <w:tc>
          <w:tcPr>
            <w:tcW w:w="5040" w:type="dxa"/>
          </w:tcPr>
          <w:p w14:paraId="3B622639" w14:textId="77777777" w:rsidR="00324FC1" w:rsidRDefault="00000000">
            <w:pPr>
              <w:spacing w:after="40"/>
            </w:pPr>
            <w:r>
              <w:rPr>
                <w:sz w:val="16"/>
              </w:rPr>
              <w:t>- Investment recommendations</w:t>
            </w:r>
          </w:p>
        </w:tc>
      </w:tr>
      <w:tr w:rsidR="00324FC1" w14:paraId="1FDCA7A8" w14:textId="77777777">
        <w:trPr>
          <w:jc w:val="center"/>
        </w:trPr>
        <w:tc>
          <w:tcPr>
            <w:tcW w:w="5040" w:type="dxa"/>
          </w:tcPr>
          <w:p w14:paraId="0B47FFCA" w14:textId="77777777" w:rsidR="00324FC1" w:rsidRDefault="00000000">
            <w:pPr>
              <w:spacing w:after="40"/>
            </w:pPr>
            <w:r>
              <w:rPr>
                <w:sz w:val="16"/>
              </w:rPr>
              <w:t>- SQLite or cached local data layer</w:t>
            </w:r>
          </w:p>
        </w:tc>
        <w:tc>
          <w:tcPr>
            <w:tcW w:w="5040" w:type="dxa"/>
          </w:tcPr>
          <w:p w14:paraId="642CA5AC" w14:textId="77777777" w:rsidR="00324FC1" w:rsidRDefault="00000000">
            <w:pPr>
              <w:spacing w:after="40"/>
            </w:pPr>
            <w:r>
              <w:rPr>
                <w:sz w:val="16"/>
              </w:rPr>
              <w:t>- Clinical success prediction</w:t>
            </w:r>
          </w:p>
        </w:tc>
      </w:tr>
      <w:tr w:rsidR="00324FC1" w14:paraId="494346B8" w14:textId="77777777">
        <w:trPr>
          <w:jc w:val="center"/>
        </w:trPr>
        <w:tc>
          <w:tcPr>
            <w:tcW w:w="5040" w:type="dxa"/>
          </w:tcPr>
          <w:p w14:paraId="6F188848" w14:textId="77777777" w:rsidR="00324FC1" w:rsidRDefault="00000000">
            <w:pPr>
              <w:spacing w:after="40"/>
            </w:pPr>
            <w:r>
              <w:rPr>
                <w:sz w:val="16"/>
              </w:rPr>
              <w:t>- Single-page Streamlit dashboard</w:t>
            </w:r>
          </w:p>
        </w:tc>
        <w:tc>
          <w:tcPr>
            <w:tcW w:w="5040" w:type="dxa"/>
          </w:tcPr>
          <w:p w14:paraId="1B313176" w14:textId="77777777" w:rsidR="00324FC1" w:rsidRDefault="00000000">
            <w:pPr>
              <w:spacing w:after="40"/>
            </w:pPr>
            <w:r>
              <w:rPr>
                <w:sz w:val="16"/>
              </w:rPr>
              <w:t>- Full multi-agent orchestration</w:t>
            </w:r>
          </w:p>
        </w:tc>
      </w:tr>
      <w:tr w:rsidR="00324FC1" w14:paraId="6C03A794" w14:textId="77777777">
        <w:trPr>
          <w:jc w:val="center"/>
        </w:trPr>
        <w:tc>
          <w:tcPr>
            <w:tcW w:w="5040" w:type="dxa"/>
          </w:tcPr>
          <w:p w14:paraId="34FCEC4B" w14:textId="77777777" w:rsidR="00324FC1" w:rsidRDefault="00000000">
            <w:pPr>
              <w:spacing w:after="40"/>
            </w:pPr>
            <w:r>
              <w:rPr>
                <w:sz w:val="16"/>
              </w:rPr>
              <w:t>- Trial explorer with filters</w:t>
            </w:r>
          </w:p>
        </w:tc>
        <w:tc>
          <w:tcPr>
            <w:tcW w:w="5040" w:type="dxa"/>
          </w:tcPr>
          <w:p w14:paraId="6601BEDA" w14:textId="77777777" w:rsidR="00324FC1" w:rsidRDefault="00000000">
            <w:pPr>
              <w:spacing w:after="40"/>
            </w:pPr>
            <w:r>
              <w:rPr>
                <w:sz w:val="16"/>
              </w:rPr>
              <w:t>- Complex PDF extraction</w:t>
            </w:r>
          </w:p>
        </w:tc>
      </w:tr>
      <w:tr w:rsidR="00324FC1" w14:paraId="23DF37E7" w14:textId="77777777">
        <w:trPr>
          <w:jc w:val="center"/>
        </w:trPr>
        <w:tc>
          <w:tcPr>
            <w:tcW w:w="5040" w:type="dxa"/>
          </w:tcPr>
          <w:p w14:paraId="6340D8AB" w14:textId="77777777" w:rsidR="00324FC1" w:rsidRDefault="00000000">
            <w:pPr>
              <w:spacing w:after="40"/>
            </w:pPr>
            <w:r>
              <w:rPr>
                <w:sz w:val="16"/>
              </w:rPr>
              <w:t>- Pipeline density and velocity metrics</w:t>
            </w:r>
          </w:p>
        </w:tc>
        <w:tc>
          <w:tcPr>
            <w:tcW w:w="5040" w:type="dxa"/>
          </w:tcPr>
          <w:p w14:paraId="49C4F45C" w14:textId="77777777" w:rsidR="00324FC1" w:rsidRDefault="00000000">
            <w:pPr>
              <w:spacing w:after="40"/>
            </w:pPr>
            <w:r>
              <w:rPr>
                <w:sz w:val="16"/>
              </w:rPr>
              <w:t>- Advanced entity resolution</w:t>
            </w:r>
          </w:p>
        </w:tc>
      </w:tr>
      <w:tr w:rsidR="00324FC1" w14:paraId="3552BE58" w14:textId="77777777">
        <w:trPr>
          <w:jc w:val="center"/>
        </w:trPr>
        <w:tc>
          <w:tcPr>
            <w:tcW w:w="5040" w:type="dxa"/>
          </w:tcPr>
          <w:p w14:paraId="45706186" w14:textId="77777777" w:rsidR="00324FC1" w:rsidRDefault="00000000">
            <w:pPr>
              <w:spacing w:after="40"/>
            </w:pPr>
            <w:r>
              <w:rPr>
                <w:sz w:val="16"/>
              </w:rPr>
              <w:t>- Catalyst calendar</w:t>
            </w:r>
          </w:p>
        </w:tc>
        <w:tc>
          <w:tcPr>
            <w:tcW w:w="5040" w:type="dxa"/>
          </w:tcPr>
          <w:p w14:paraId="035A2BE6" w14:textId="77777777" w:rsidR="00324FC1" w:rsidRDefault="00000000">
            <w:pPr>
              <w:spacing w:after="40"/>
            </w:pPr>
            <w:r>
              <w:rPr>
                <w:sz w:val="16"/>
              </w:rPr>
              <w:t>- Unsupported claims or speculative summaries</w:t>
            </w:r>
          </w:p>
        </w:tc>
      </w:tr>
      <w:tr w:rsidR="00324FC1" w14:paraId="70B88E1F" w14:textId="77777777">
        <w:trPr>
          <w:jc w:val="center"/>
        </w:trPr>
        <w:tc>
          <w:tcPr>
            <w:tcW w:w="5040" w:type="dxa"/>
          </w:tcPr>
          <w:p w14:paraId="425CFAC1" w14:textId="77777777" w:rsidR="00324FC1" w:rsidRDefault="00000000">
            <w:pPr>
              <w:spacing w:after="40"/>
            </w:pPr>
            <w:r>
              <w:rPr>
                <w:sz w:val="16"/>
              </w:rPr>
              <w:t>- Citation-backed strategic summary</w:t>
            </w:r>
          </w:p>
        </w:tc>
        <w:tc>
          <w:tcPr>
            <w:tcW w:w="5040" w:type="dxa"/>
          </w:tcPr>
          <w:p w14:paraId="040C8E37" w14:textId="77777777" w:rsidR="00324FC1" w:rsidRDefault="00000000">
            <w:pPr>
              <w:spacing w:after="40"/>
            </w:pPr>
            <w:r>
              <w:rPr>
                <w:sz w:val="16"/>
              </w:rPr>
              <w:t>- Broad multi-TA generalization in the first release</w:t>
            </w:r>
          </w:p>
        </w:tc>
      </w:tr>
      <w:tr w:rsidR="00324FC1" w14:paraId="7A950AE0" w14:textId="77777777">
        <w:trPr>
          <w:jc w:val="center"/>
        </w:trPr>
        <w:tc>
          <w:tcPr>
            <w:tcW w:w="5040" w:type="dxa"/>
          </w:tcPr>
          <w:p w14:paraId="733139AA" w14:textId="77777777" w:rsidR="00324FC1" w:rsidRDefault="00000000">
            <w:pPr>
              <w:spacing w:after="40"/>
            </w:pPr>
            <w:r>
              <w:rPr>
                <w:sz w:val="16"/>
              </w:rPr>
              <w:t>- GitHub README and Streamlit Cloud deployment</w:t>
            </w:r>
          </w:p>
        </w:tc>
        <w:tc>
          <w:tcPr>
            <w:tcW w:w="5040" w:type="dxa"/>
          </w:tcPr>
          <w:p w14:paraId="427E1915" w14:textId="77777777" w:rsidR="00324FC1" w:rsidRDefault="00000000">
            <w:pPr>
              <w:spacing w:after="40"/>
            </w:pPr>
            <w:r>
              <w:rPr>
                <w:sz w:val="16"/>
              </w:rPr>
              <w:t>- Overbuilt enterprise workflow features</w:t>
            </w:r>
          </w:p>
        </w:tc>
      </w:tr>
    </w:tbl>
    <w:p w14:paraId="42CF21D2" w14:textId="77777777" w:rsidR="00324FC1" w:rsidRDefault="00000000">
      <w:pPr>
        <w:pStyle w:val="Heading1"/>
      </w:pPr>
      <w:r>
        <w:t>5. Core Dashboard Modules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515"/>
        <w:gridCol w:w="2515"/>
        <w:gridCol w:w="2518"/>
        <w:gridCol w:w="2516"/>
      </w:tblGrid>
      <w:tr w:rsidR="00324FC1" w14:paraId="0A3D22EF" w14:textId="77777777">
        <w:trPr>
          <w:jc w:val="center"/>
        </w:trPr>
        <w:tc>
          <w:tcPr>
            <w:tcW w:w="2520" w:type="dxa"/>
            <w:shd w:val="clear" w:color="auto" w:fill="0B1F3A"/>
          </w:tcPr>
          <w:p w14:paraId="1F51453D" w14:textId="77777777" w:rsidR="00324FC1" w:rsidRDefault="00000000">
            <w:pPr>
              <w:spacing w:after="40"/>
            </w:pPr>
            <w:r>
              <w:rPr>
                <w:b/>
                <w:color w:val="FFFFFF"/>
                <w:sz w:val="16"/>
              </w:rPr>
              <w:t>Module</w:t>
            </w:r>
          </w:p>
        </w:tc>
        <w:tc>
          <w:tcPr>
            <w:tcW w:w="2520" w:type="dxa"/>
            <w:shd w:val="clear" w:color="auto" w:fill="0B1F3A"/>
          </w:tcPr>
          <w:p w14:paraId="0BDA07BC" w14:textId="77777777" w:rsidR="00324FC1" w:rsidRDefault="00000000">
            <w:pPr>
              <w:spacing w:after="40"/>
            </w:pPr>
            <w:r>
              <w:rPr>
                <w:b/>
                <w:color w:val="FFFFFF"/>
                <w:sz w:val="16"/>
              </w:rPr>
              <w:t>Strategic Question</w:t>
            </w:r>
          </w:p>
        </w:tc>
        <w:tc>
          <w:tcPr>
            <w:tcW w:w="2520" w:type="dxa"/>
            <w:shd w:val="clear" w:color="auto" w:fill="0B1F3A"/>
          </w:tcPr>
          <w:p w14:paraId="46677137" w14:textId="77777777" w:rsidR="00324FC1" w:rsidRDefault="00000000">
            <w:pPr>
              <w:spacing w:after="40"/>
            </w:pPr>
            <w:r>
              <w:rPr>
                <w:b/>
                <w:color w:val="FFFFFF"/>
                <w:sz w:val="16"/>
              </w:rPr>
              <w:t>Primary Outputs</w:t>
            </w:r>
          </w:p>
        </w:tc>
        <w:tc>
          <w:tcPr>
            <w:tcW w:w="2520" w:type="dxa"/>
            <w:shd w:val="clear" w:color="auto" w:fill="0B1F3A"/>
          </w:tcPr>
          <w:p w14:paraId="096F347C" w14:textId="77777777" w:rsidR="00324FC1" w:rsidRDefault="00000000">
            <w:pPr>
              <w:spacing w:after="40"/>
            </w:pPr>
            <w:r>
              <w:rPr>
                <w:b/>
                <w:color w:val="FFFFFF"/>
                <w:sz w:val="16"/>
              </w:rPr>
              <w:t>Reliability Requirement</w:t>
            </w:r>
          </w:p>
        </w:tc>
      </w:tr>
      <w:tr w:rsidR="00324FC1" w14:paraId="5AA32109" w14:textId="77777777">
        <w:trPr>
          <w:jc w:val="center"/>
        </w:trPr>
        <w:tc>
          <w:tcPr>
            <w:tcW w:w="2520" w:type="dxa"/>
          </w:tcPr>
          <w:p w14:paraId="6671F2E7" w14:textId="77777777" w:rsidR="00324FC1" w:rsidRDefault="00000000">
            <w:pPr>
              <w:spacing w:after="40"/>
            </w:pPr>
            <w:r>
              <w:rPr>
                <w:sz w:val="15"/>
              </w:rPr>
              <w:t>Pipeline Density</w:t>
            </w:r>
          </w:p>
        </w:tc>
        <w:tc>
          <w:tcPr>
            <w:tcW w:w="2520" w:type="dxa"/>
          </w:tcPr>
          <w:p w14:paraId="3C807E15" w14:textId="77777777" w:rsidR="00324FC1" w:rsidRDefault="00000000">
            <w:pPr>
              <w:spacing w:after="40"/>
            </w:pPr>
            <w:r>
              <w:rPr>
                <w:sz w:val="15"/>
              </w:rPr>
              <w:t>How crowded is the TA?</w:t>
            </w:r>
          </w:p>
        </w:tc>
        <w:tc>
          <w:tcPr>
            <w:tcW w:w="2520" w:type="dxa"/>
          </w:tcPr>
          <w:p w14:paraId="2871B044" w14:textId="77777777" w:rsidR="00324FC1" w:rsidRDefault="00000000">
            <w:pPr>
              <w:spacing w:after="40"/>
            </w:pPr>
            <w:r>
              <w:rPr>
                <w:sz w:val="15"/>
              </w:rPr>
              <w:t>Trial counts, sponsor leaderboard, phase/status/condition cuts</w:t>
            </w:r>
          </w:p>
        </w:tc>
        <w:tc>
          <w:tcPr>
            <w:tcW w:w="2520" w:type="dxa"/>
          </w:tcPr>
          <w:p w14:paraId="2C83E2DE" w14:textId="77777777" w:rsidR="00324FC1" w:rsidRDefault="00000000">
            <w:pPr>
              <w:spacing w:after="40"/>
            </w:pPr>
            <w:r>
              <w:rPr>
                <w:sz w:val="15"/>
              </w:rPr>
              <w:t>All metrics derived from structured trial records.</w:t>
            </w:r>
          </w:p>
        </w:tc>
      </w:tr>
      <w:tr w:rsidR="00324FC1" w14:paraId="40E13F04" w14:textId="77777777">
        <w:trPr>
          <w:jc w:val="center"/>
        </w:trPr>
        <w:tc>
          <w:tcPr>
            <w:tcW w:w="2520" w:type="dxa"/>
          </w:tcPr>
          <w:p w14:paraId="3F372D90" w14:textId="77777777" w:rsidR="00324FC1" w:rsidRDefault="00000000">
            <w:pPr>
              <w:spacing w:after="40"/>
            </w:pPr>
            <w:r>
              <w:rPr>
                <w:sz w:val="15"/>
              </w:rPr>
              <w:t>Pipeline Velocity</w:t>
            </w:r>
          </w:p>
        </w:tc>
        <w:tc>
          <w:tcPr>
            <w:tcW w:w="2520" w:type="dxa"/>
          </w:tcPr>
          <w:p w14:paraId="42DBB83E" w14:textId="77777777" w:rsidR="00324FC1" w:rsidRDefault="00000000">
            <w:pPr>
              <w:spacing w:after="40"/>
            </w:pPr>
            <w:r>
              <w:rPr>
                <w:sz w:val="15"/>
              </w:rPr>
              <w:t>Where is momentum increasing or slowing?</w:t>
            </w:r>
          </w:p>
        </w:tc>
        <w:tc>
          <w:tcPr>
            <w:tcW w:w="2520" w:type="dxa"/>
          </w:tcPr>
          <w:p w14:paraId="0237EE94" w14:textId="77777777" w:rsidR="00324FC1" w:rsidRDefault="00000000">
            <w:pPr>
              <w:spacing w:after="40"/>
            </w:pPr>
            <w:r>
              <w:rPr>
                <w:sz w:val="15"/>
              </w:rPr>
              <w:t>New starts, completions, recruiting activity, recent updates</w:t>
            </w:r>
          </w:p>
        </w:tc>
        <w:tc>
          <w:tcPr>
            <w:tcW w:w="2520" w:type="dxa"/>
          </w:tcPr>
          <w:p w14:paraId="36C86541" w14:textId="77777777" w:rsidR="00324FC1" w:rsidRDefault="00000000">
            <w:pPr>
              <w:spacing w:after="40"/>
            </w:pPr>
            <w:r>
              <w:rPr>
                <w:sz w:val="15"/>
              </w:rPr>
              <w:t>Dates must be traceable to record-level fields.</w:t>
            </w:r>
          </w:p>
        </w:tc>
      </w:tr>
      <w:tr w:rsidR="00324FC1" w14:paraId="62869077" w14:textId="77777777">
        <w:trPr>
          <w:jc w:val="center"/>
        </w:trPr>
        <w:tc>
          <w:tcPr>
            <w:tcW w:w="2520" w:type="dxa"/>
          </w:tcPr>
          <w:p w14:paraId="1C3B431D" w14:textId="77777777" w:rsidR="00324FC1" w:rsidRDefault="00000000">
            <w:pPr>
              <w:spacing w:after="40"/>
            </w:pPr>
            <w:r>
              <w:rPr>
                <w:sz w:val="15"/>
              </w:rPr>
              <w:t>Differentiation Signals</w:t>
            </w:r>
          </w:p>
        </w:tc>
        <w:tc>
          <w:tcPr>
            <w:tcW w:w="2520" w:type="dxa"/>
          </w:tcPr>
          <w:p w14:paraId="288A6E07" w14:textId="77777777" w:rsidR="00324FC1" w:rsidRDefault="00000000">
            <w:pPr>
              <w:spacing w:after="40"/>
            </w:pPr>
            <w:r>
              <w:rPr>
                <w:sz w:val="15"/>
              </w:rPr>
              <w:t>How do assets appear to differ?</w:t>
            </w:r>
          </w:p>
        </w:tc>
        <w:tc>
          <w:tcPr>
            <w:tcW w:w="2520" w:type="dxa"/>
          </w:tcPr>
          <w:p w14:paraId="61ABC8C0" w14:textId="77777777" w:rsidR="00324FC1" w:rsidRDefault="00000000">
            <w:pPr>
              <w:spacing w:after="40"/>
            </w:pPr>
            <w:r>
              <w:rPr>
                <w:sz w:val="15"/>
              </w:rPr>
              <w:t>Mechanism, target, sponsor, design, patient segment fields where extractable</w:t>
            </w:r>
          </w:p>
        </w:tc>
        <w:tc>
          <w:tcPr>
            <w:tcW w:w="2520" w:type="dxa"/>
          </w:tcPr>
          <w:p w14:paraId="16414F29" w14:textId="77777777" w:rsidR="00324FC1" w:rsidRDefault="00000000">
            <w:pPr>
              <w:spacing w:after="40"/>
            </w:pPr>
            <w:r>
              <w:rPr>
                <w:sz w:val="15"/>
              </w:rPr>
              <w:t>Only display differentiation fields that are present or explicitly mapped.</w:t>
            </w:r>
          </w:p>
        </w:tc>
      </w:tr>
      <w:tr w:rsidR="00324FC1" w14:paraId="77008597" w14:textId="77777777">
        <w:trPr>
          <w:jc w:val="center"/>
        </w:trPr>
        <w:tc>
          <w:tcPr>
            <w:tcW w:w="2520" w:type="dxa"/>
          </w:tcPr>
          <w:p w14:paraId="5F610463" w14:textId="77777777" w:rsidR="00324FC1" w:rsidRDefault="00000000">
            <w:pPr>
              <w:spacing w:after="40"/>
            </w:pPr>
            <w:r>
              <w:rPr>
                <w:sz w:val="15"/>
              </w:rPr>
              <w:t>Catalyst Calendar</w:t>
            </w:r>
          </w:p>
        </w:tc>
        <w:tc>
          <w:tcPr>
            <w:tcW w:w="2520" w:type="dxa"/>
          </w:tcPr>
          <w:p w14:paraId="27F23E08" w14:textId="77777777" w:rsidR="00324FC1" w:rsidRDefault="00000000">
            <w:pPr>
              <w:spacing w:after="40"/>
            </w:pPr>
            <w:r>
              <w:rPr>
                <w:sz w:val="15"/>
              </w:rPr>
              <w:t>What should an analyst watch next?</w:t>
            </w:r>
          </w:p>
        </w:tc>
        <w:tc>
          <w:tcPr>
            <w:tcW w:w="2520" w:type="dxa"/>
          </w:tcPr>
          <w:p w14:paraId="13427A3F" w14:textId="77777777" w:rsidR="00324FC1" w:rsidRDefault="00000000">
            <w:pPr>
              <w:spacing w:after="40"/>
            </w:pPr>
            <w:r>
              <w:rPr>
                <w:sz w:val="15"/>
              </w:rPr>
              <w:t>Primary completion dates, study completion dates, regulatory/news signals</w:t>
            </w:r>
          </w:p>
        </w:tc>
        <w:tc>
          <w:tcPr>
            <w:tcW w:w="2520" w:type="dxa"/>
          </w:tcPr>
          <w:p w14:paraId="78588558" w14:textId="77777777" w:rsidR="00324FC1" w:rsidRDefault="00000000">
            <w:pPr>
              <w:spacing w:after="40"/>
            </w:pPr>
            <w:r>
              <w:rPr>
                <w:sz w:val="15"/>
              </w:rPr>
              <w:t>Each catalyst must link to a source URL.</w:t>
            </w:r>
          </w:p>
        </w:tc>
      </w:tr>
      <w:tr w:rsidR="00324FC1" w14:paraId="1FB74529" w14:textId="77777777">
        <w:trPr>
          <w:jc w:val="center"/>
        </w:trPr>
        <w:tc>
          <w:tcPr>
            <w:tcW w:w="2520" w:type="dxa"/>
          </w:tcPr>
          <w:p w14:paraId="6A11DF2C" w14:textId="77777777" w:rsidR="00324FC1" w:rsidRDefault="00000000">
            <w:pPr>
              <w:spacing w:after="40"/>
            </w:pPr>
            <w:r>
              <w:rPr>
                <w:sz w:val="15"/>
              </w:rPr>
              <w:t>Evidence Table</w:t>
            </w:r>
          </w:p>
        </w:tc>
        <w:tc>
          <w:tcPr>
            <w:tcW w:w="2520" w:type="dxa"/>
          </w:tcPr>
          <w:p w14:paraId="4AAB9BC9" w14:textId="77777777" w:rsidR="00324FC1" w:rsidRDefault="00000000">
            <w:pPr>
              <w:spacing w:after="40"/>
            </w:pPr>
            <w:r>
              <w:rPr>
                <w:sz w:val="15"/>
              </w:rPr>
              <w:t>Can every claim be audited?</w:t>
            </w:r>
          </w:p>
        </w:tc>
        <w:tc>
          <w:tcPr>
            <w:tcW w:w="2520" w:type="dxa"/>
          </w:tcPr>
          <w:p w14:paraId="34845113" w14:textId="77777777" w:rsidR="00324FC1" w:rsidRDefault="00000000">
            <w:pPr>
              <w:spacing w:after="40"/>
            </w:pPr>
            <w:r>
              <w:rPr>
                <w:sz w:val="15"/>
              </w:rPr>
              <w:t>Claim text, source URL, source name, evidence type, data pull date</w:t>
            </w:r>
          </w:p>
        </w:tc>
        <w:tc>
          <w:tcPr>
            <w:tcW w:w="2520" w:type="dxa"/>
          </w:tcPr>
          <w:p w14:paraId="532724B0" w14:textId="77777777" w:rsidR="00324FC1" w:rsidRDefault="00000000">
            <w:pPr>
              <w:spacing w:after="40"/>
            </w:pPr>
            <w:r>
              <w:rPr>
                <w:sz w:val="15"/>
              </w:rPr>
              <w:t>UI refuses claims without URLs.</w:t>
            </w:r>
          </w:p>
        </w:tc>
      </w:tr>
    </w:tbl>
    <w:p w14:paraId="54E50BD6" w14:textId="77777777" w:rsidR="00324FC1" w:rsidRDefault="00000000">
      <w:r>
        <w:br w:type="page"/>
      </w:r>
    </w:p>
    <w:p w14:paraId="7203F7B1" w14:textId="77777777" w:rsidR="00324FC1" w:rsidRDefault="00000000">
      <w:pPr>
        <w:pStyle w:val="Heading1"/>
      </w:pPr>
      <w:r>
        <w:lastRenderedPageBreak/>
        <w:t>6. Proposed Architecture</w:t>
      </w:r>
    </w:p>
    <w:p w14:paraId="1D42312C" w14:textId="77777777" w:rsidR="00324FC1" w:rsidRDefault="00000000">
      <w:r>
        <w:t>The system architecture should be simple, auditable, and maintainable. The prior multi-agent systems demonstrate advanced orchestration capability; this project should prioritize product clarity and evidence traceability over architectural complexity.</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5032"/>
        <w:gridCol w:w="5032"/>
      </w:tblGrid>
      <w:tr w:rsidR="00324FC1" w14:paraId="544268CE" w14:textId="77777777">
        <w:trPr>
          <w:jc w:val="center"/>
        </w:trPr>
        <w:tc>
          <w:tcPr>
            <w:tcW w:w="5040" w:type="dxa"/>
            <w:shd w:val="clear" w:color="auto" w:fill="F4F7FA"/>
          </w:tcPr>
          <w:p w14:paraId="0F651FCE" w14:textId="77777777" w:rsidR="00324FC1" w:rsidRDefault="00000000">
            <w:pPr>
              <w:spacing w:after="40"/>
            </w:pPr>
            <w:r>
              <w:rPr>
                <w:b/>
                <w:color w:val="0B1F3A"/>
                <w:sz w:val="17"/>
              </w:rPr>
              <w:t>1. Public Sources</w:t>
            </w:r>
          </w:p>
        </w:tc>
        <w:tc>
          <w:tcPr>
            <w:tcW w:w="5040" w:type="dxa"/>
          </w:tcPr>
          <w:p w14:paraId="3581EBDE" w14:textId="77777777" w:rsidR="00324FC1" w:rsidRDefault="00000000">
            <w:pPr>
              <w:spacing w:after="40"/>
            </w:pPr>
            <w:r>
              <w:rPr>
                <w:sz w:val="17"/>
              </w:rPr>
              <w:t>ClinicalTrials.gov API; FDA and EMA public pages or RSS; optional Endpoints and STAT RSS overlay.</w:t>
            </w:r>
          </w:p>
        </w:tc>
      </w:tr>
      <w:tr w:rsidR="00324FC1" w14:paraId="2943DF14" w14:textId="77777777">
        <w:trPr>
          <w:jc w:val="center"/>
        </w:trPr>
        <w:tc>
          <w:tcPr>
            <w:tcW w:w="5040" w:type="dxa"/>
            <w:shd w:val="clear" w:color="auto" w:fill="F4F7FA"/>
          </w:tcPr>
          <w:p w14:paraId="12BB99C7" w14:textId="77777777" w:rsidR="00324FC1" w:rsidRDefault="00000000">
            <w:pPr>
              <w:spacing w:after="40"/>
            </w:pPr>
            <w:r>
              <w:rPr>
                <w:b/>
                <w:color w:val="0B1F3A"/>
                <w:sz w:val="17"/>
              </w:rPr>
              <w:t>2. Ingestion Layer</w:t>
            </w:r>
          </w:p>
        </w:tc>
        <w:tc>
          <w:tcPr>
            <w:tcW w:w="5040" w:type="dxa"/>
          </w:tcPr>
          <w:p w14:paraId="42073332" w14:textId="77777777" w:rsidR="00324FC1" w:rsidRDefault="00000000">
            <w:pPr>
              <w:spacing w:after="40"/>
            </w:pPr>
            <w:r>
              <w:rPr>
                <w:sz w:val="17"/>
              </w:rPr>
              <w:t>API fetchers, RSS parsers, raw response cache, data pull timestamps.</w:t>
            </w:r>
          </w:p>
        </w:tc>
      </w:tr>
      <w:tr w:rsidR="00324FC1" w14:paraId="07D8AED4" w14:textId="77777777">
        <w:trPr>
          <w:jc w:val="center"/>
        </w:trPr>
        <w:tc>
          <w:tcPr>
            <w:tcW w:w="5040" w:type="dxa"/>
            <w:shd w:val="clear" w:color="auto" w:fill="F4F7FA"/>
          </w:tcPr>
          <w:p w14:paraId="2BD1DAE8" w14:textId="77777777" w:rsidR="00324FC1" w:rsidRDefault="00000000">
            <w:pPr>
              <w:spacing w:after="40"/>
            </w:pPr>
            <w:r>
              <w:rPr>
                <w:b/>
                <w:color w:val="0B1F3A"/>
                <w:sz w:val="17"/>
              </w:rPr>
              <w:t>3. Data Layer</w:t>
            </w:r>
          </w:p>
        </w:tc>
        <w:tc>
          <w:tcPr>
            <w:tcW w:w="5040" w:type="dxa"/>
          </w:tcPr>
          <w:p w14:paraId="2CC7CB8D" w14:textId="77777777" w:rsidR="00324FC1" w:rsidRDefault="00000000">
            <w:pPr>
              <w:spacing w:after="40"/>
            </w:pPr>
            <w:r>
              <w:rPr>
                <w:sz w:val="17"/>
              </w:rPr>
              <w:t>SQLite database with normalized trial table, source metadata table, catalyst table, and raw-source references.</w:t>
            </w:r>
          </w:p>
        </w:tc>
      </w:tr>
      <w:tr w:rsidR="00324FC1" w14:paraId="7B3E5F7F" w14:textId="77777777">
        <w:trPr>
          <w:jc w:val="center"/>
        </w:trPr>
        <w:tc>
          <w:tcPr>
            <w:tcW w:w="5040" w:type="dxa"/>
            <w:shd w:val="clear" w:color="auto" w:fill="F4F7FA"/>
          </w:tcPr>
          <w:p w14:paraId="1EB79CE3" w14:textId="77777777" w:rsidR="00324FC1" w:rsidRDefault="00000000">
            <w:pPr>
              <w:spacing w:after="40"/>
            </w:pPr>
            <w:r>
              <w:rPr>
                <w:b/>
                <w:color w:val="0B1F3A"/>
                <w:sz w:val="17"/>
              </w:rPr>
              <w:t>4. Analytics Layer</w:t>
            </w:r>
          </w:p>
        </w:tc>
        <w:tc>
          <w:tcPr>
            <w:tcW w:w="5040" w:type="dxa"/>
          </w:tcPr>
          <w:p w14:paraId="050A67D7" w14:textId="77777777" w:rsidR="00324FC1" w:rsidRDefault="00000000">
            <w:pPr>
              <w:spacing w:after="40"/>
            </w:pPr>
            <w:r>
              <w:rPr>
                <w:sz w:val="17"/>
              </w:rPr>
              <w:t>Pipeline density metrics, velocity metrics, phase/status cuts, sponsor views, date-based catalyst extraction.</w:t>
            </w:r>
          </w:p>
        </w:tc>
      </w:tr>
      <w:tr w:rsidR="00324FC1" w14:paraId="53547C82" w14:textId="77777777">
        <w:trPr>
          <w:jc w:val="center"/>
        </w:trPr>
        <w:tc>
          <w:tcPr>
            <w:tcW w:w="5040" w:type="dxa"/>
            <w:shd w:val="clear" w:color="auto" w:fill="F4F7FA"/>
          </w:tcPr>
          <w:p w14:paraId="22E2746A" w14:textId="77777777" w:rsidR="00324FC1" w:rsidRDefault="00000000">
            <w:pPr>
              <w:spacing w:after="40"/>
            </w:pPr>
            <w:r>
              <w:rPr>
                <w:b/>
                <w:color w:val="0B1F3A"/>
                <w:sz w:val="17"/>
              </w:rPr>
              <w:t>5. Narrative Layer</w:t>
            </w:r>
          </w:p>
        </w:tc>
        <w:tc>
          <w:tcPr>
            <w:tcW w:w="5040" w:type="dxa"/>
          </w:tcPr>
          <w:p w14:paraId="6498C1ED" w14:textId="77777777" w:rsidR="00324FC1" w:rsidRDefault="00000000">
            <w:pPr>
              <w:spacing w:after="40"/>
            </w:pPr>
            <w:r>
              <w:rPr>
                <w:sz w:val="17"/>
              </w:rPr>
              <w:t>Citation-constrained summary generation based only on retrieved and transformed data.</w:t>
            </w:r>
          </w:p>
        </w:tc>
      </w:tr>
      <w:tr w:rsidR="00324FC1" w14:paraId="4FF1B6B2" w14:textId="77777777">
        <w:trPr>
          <w:jc w:val="center"/>
        </w:trPr>
        <w:tc>
          <w:tcPr>
            <w:tcW w:w="5040" w:type="dxa"/>
            <w:shd w:val="clear" w:color="auto" w:fill="F4F7FA"/>
          </w:tcPr>
          <w:p w14:paraId="6B397824" w14:textId="77777777" w:rsidR="00324FC1" w:rsidRDefault="00000000">
            <w:pPr>
              <w:spacing w:after="40"/>
            </w:pPr>
            <w:r>
              <w:rPr>
                <w:b/>
                <w:color w:val="0B1F3A"/>
                <w:sz w:val="17"/>
              </w:rPr>
              <w:t>6. Validation Layer</w:t>
            </w:r>
          </w:p>
        </w:tc>
        <w:tc>
          <w:tcPr>
            <w:tcW w:w="5040" w:type="dxa"/>
          </w:tcPr>
          <w:p w14:paraId="16C2F305" w14:textId="77777777" w:rsidR="00324FC1" w:rsidRDefault="00000000">
            <w:pPr>
              <w:spacing w:after="40"/>
            </w:pPr>
            <w:r>
              <w:rPr>
                <w:sz w:val="17"/>
              </w:rPr>
              <w:t>Schema validation for claim objects; source URL required; unsupported claims blocked from rendering.</w:t>
            </w:r>
          </w:p>
        </w:tc>
      </w:tr>
      <w:tr w:rsidR="00324FC1" w14:paraId="30F26D55" w14:textId="77777777">
        <w:trPr>
          <w:jc w:val="center"/>
        </w:trPr>
        <w:tc>
          <w:tcPr>
            <w:tcW w:w="5040" w:type="dxa"/>
            <w:shd w:val="clear" w:color="auto" w:fill="F4F7FA"/>
          </w:tcPr>
          <w:p w14:paraId="06FAA721" w14:textId="77777777" w:rsidR="00324FC1" w:rsidRDefault="00000000">
            <w:pPr>
              <w:spacing w:after="40"/>
            </w:pPr>
            <w:r>
              <w:rPr>
                <w:b/>
                <w:color w:val="0B1F3A"/>
                <w:sz w:val="17"/>
              </w:rPr>
              <w:t>7. Streamlit UI</w:t>
            </w:r>
          </w:p>
        </w:tc>
        <w:tc>
          <w:tcPr>
            <w:tcW w:w="5040" w:type="dxa"/>
          </w:tcPr>
          <w:p w14:paraId="58EA5602" w14:textId="77777777" w:rsidR="00324FC1" w:rsidRDefault="00000000">
            <w:pPr>
              <w:spacing w:after="40"/>
            </w:pPr>
            <w:r>
              <w:rPr>
                <w:sz w:val="17"/>
              </w:rPr>
              <w:t>Executive snapshot, visual modules, filterable trial explorer, catalyst calendar, and evidence table.</w:t>
            </w:r>
          </w:p>
        </w:tc>
      </w:tr>
    </w:tbl>
    <w:p w14:paraId="5F593137" w14:textId="77777777" w:rsidR="00324FC1" w:rsidRDefault="00000000">
      <w:pPr>
        <w:pStyle w:val="ExecutiveCallout"/>
      </w:pPr>
      <w:r>
        <w:rPr>
          <w:b/>
        </w:rPr>
        <w:t xml:space="preserve">Architecture principle: </w:t>
      </w:r>
      <w:r>
        <w:t>The LLM is a presentation layer, not a fact generator. It summarizes evidence already retrieved, transformed, and validated by the application.</w:t>
      </w:r>
    </w:p>
    <w:p w14:paraId="7BC1F4ED" w14:textId="77777777" w:rsidR="00324FC1" w:rsidRDefault="00000000">
      <w:pPr>
        <w:pStyle w:val="Heading1"/>
      </w:pPr>
      <w:r>
        <w:t>7. Reliability and Anti-Hallucination Controls</w:t>
      </w:r>
    </w:p>
    <w:p w14:paraId="5ADE2228" w14:textId="77777777" w:rsidR="00324FC1" w:rsidRDefault="00000000">
      <w:r>
        <w:t>Reliability is the defining feature of this project. The application should be comfortable showing incomplete evidence rather than filling gaps with unsupported claims. The central rule is simple: no source URL, no claim.</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5032"/>
        <w:gridCol w:w="5032"/>
      </w:tblGrid>
      <w:tr w:rsidR="00324FC1" w14:paraId="5F4BE65E" w14:textId="77777777">
        <w:trPr>
          <w:jc w:val="center"/>
        </w:trPr>
        <w:tc>
          <w:tcPr>
            <w:tcW w:w="5040" w:type="dxa"/>
            <w:shd w:val="clear" w:color="auto" w:fill="16324F"/>
          </w:tcPr>
          <w:p w14:paraId="16D12E54" w14:textId="77777777" w:rsidR="00324FC1" w:rsidRDefault="00000000">
            <w:pPr>
              <w:spacing w:after="40"/>
            </w:pPr>
            <w:r>
              <w:rPr>
                <w:b/>
                <w:color w:val="FFFFFF"/>
                <w:sz w:val="16"/>
              </w:rPr>
              <w:t>Control</w:t>
            </w:r>
          </w:p>
        </w:tc>
        <w:tc>
          <w:tcPr>
            <w:tcW w:w="5040" w:type="dxa"/>
            <w:shd w:val="clear" w:color="auto" w:fill="16324F"/>
          </w:tcPr>
          <w:p w14:paraId="71EAFF2A" w14:textId="77777777" w:rsidR="00324FC1" w:rsidRDefault="00000000">
            <w:pPr>
              <w:spacing w:after="40"/>
            </w:pPr>
            <w:r>
              <w:rPr>
                <w:b/>
                <w:color w:val="FFFFFF"/>
                <w:sz w:val="16"/>
              </w:rPr>
              <w:t>Implementation Standard</w:t>
            </w:r>
          </w:p>
        </w:tc>
      </w:tr>
      <w:tr w:rsidR="00324FC1" w14:paraId="224BA80C" w14:textId="77777777">
        <w:trPr>
          <w:jc w:val="center"/>
        </w:trPr>
        <w:tc>
          <w:tcPr>
            <w:tcW w:w="5040" w:type="dxa"/>
          </w:tcPr>
          <w:p w14:paraId="7DD18494" w14:textId="77777777" w:rsidR="00324FC1" w:rsidRDefault="00000000">
            <w:pPr>
              <w:spacing w:after="40"/>
            </w:pPr>
            <w:r>
              <w:rPr>
                <w:b/>
                <w:color w:val="0B1F3A"/>
                <w:sz w:val="16"/>
              </w:rPr>
              <w:t>Source whitelist</w:t>
            </w:r>
          </w:p>
        </w:tc>
        <w:tc>
          <w:tcPr>
            <w:tcW w:w="5040" w:type="dxa"/>
          </w:tcPr>
          <w:p w14:paraId="69D81933" w14:textId="77777777" w:rsidR="00324FC1" w:rsidRDefault="00000000">
            <w:pPr>
              <w:spacing w:after="40"/>
            </w:pPr>
            <w:r>
              <w:rPr>
                <w:sz w:val="16"/>
              </w:rPr>
              <w:t>Only approved public sources are used in the MVP. The source registry should make allowed sources explicit.</w:t>
            </w:r>
          </w:p>
        </w:tc>
      </w:tr>
      <w:tr w:rsidR="00324FC1" w14:paraId="79890465" w14:textId="77777777">
        <w:trPr>
          <w:jc w:val="center"/>
        </w:trPr>
        <w:tc>
          <w:tcPr>
            <w:tcW w:w="5040" w:type="dxa"/>
          </w:tcPr>
          <w:p w14:paraId="4B7AAB20" w14:textId="77777777" w:rsidR="00324FC1" w:rsidRDefault="00000000">
            <w:pPr>
              <w:spacing w:after="40"/>
            </w:pPr>
            <w:r>
              <w:rPr>
                <w:b/>
                <w:color w:val="0B1F3A"/>
                <w:sz w:val="16"/>
              </w:rPr>
              <w:t>Required URL field</w:t>
            </w:r>
          </w:p>
        </w:tc>
        <w:tc>
          <w:tcPr>
            <w:tcW w:w="5040" w:type="dxa"/>
          </w:tcPr>
          <w:p w14:paraId="3C03D181" w14:textId="77777777" w:rsidR="00324FC1" w:rsidRDefault="00000000">
            <w:pPr>
              <w:spacing w:after="40"/>
            </w:pPr>
            <w:r>
              <w:rPr>
                <w:sz w:val="16"/>
              </w:rPr>
              <w:t>Every narrative claim must include a valid, clickable source_url before it can render in the UI.</w:t>
            </w:r>
          </w:p>
        </w:tc>
      </w:tr>
      <w:tr w:rsidR="00324FC1" w14:paraId="1728D6EE" w14:textId="77777777">
        <w:trPr>
          <w:jc w:val="center"/>
        </w:trPr>
        <w:tc>
          <w:tcPr>
            <w:tcW w:w="5040" w:type="dxa"/>
          </w:tcPr>
          <w:p w14:paraId="187AA249" w14:textId="77777777" w:rsidR="00324FC1" w:rsidRDefault="00000000">
            <w:pPr>
              <w:spacing w:after="40"/>
            </w:pPr>
            <w:r>
              <w:rPr>
                <w:b/>
                <w:color w:val="0B1F3A"/>
                <w:sz w:val="16"/>
              </w:rPr>
              <w:t>Data freshness display</w:t>
            </w:r>
          </w:p>
        </w:tc>
        <w:tc>
          <w:tcPr>
            <w:tcW w:w="5040" w:type="dxa"/>
          </w:tcPr>
          <w:p w14:paraId="33B08D48" w14:textId="77777777" w:rsidR="00324FC1" w:rsidRDefault="00000000">
            <w:pPr>
              <w:spacing w:after="40"/>
            </w:pPr>
            <w:r>
              <w:rPr>
                <w:sz w:val="16"/>
              </w:rPr>
              <w:t>The dashboard must show the most recent data pull timestamp and warn when cached data is stale.</w:t>
            </w:r>
          </w:p>
        </w:tc>
      </w:tr>
      <w:tr w:rsidR="00324FC1" w14:paraId="45A86428" w14:textId="77777777">
        <w:trPr>
          <w:jc w:val="center"/>
        </w:trPr>
        <w:tc>
          <w:tcPr>
            <w:tcW w:w="5040" w:type="dxa"/>
          </w:tcPr>
          <w:p w14:paraId="14CA1EC9" w14:textId="77777777" w:rsidR="00324FC1" w:rsidRDefault="00000000">
            <w:pPr>
              <w:spacing w:after="40"/>
            </w:pPr>
            <w:r>
              <w:rPr>
                <w:b/>
                <w:color w:val="0B1F3A"/>
                <w:sz w:val="16"/>
              </w:rPr>
              <w:t>Raw response cache</w:t>
            </w:r>
          </w:p>
        </w:tc>
        <w:tc>
          <w:tcPr>
            <w:tcW w:w="5040" w:type="dxa"/>
          </w:tcPr>
          <w:p w14:paraId="290BD2F2" w14:textId="77777777" w:rsidR="00324FC1" w:rsidRDefault="00000000">
            <w:pPr>
              <w:spacing w:after="40"/>
            </w:pPr>
            <w:r>
              <w:rPr>
                <w:sz w:val="16"/>
              </w:rPr>
              <w:t>Raw API or RSS responses should be stored or cached to support auditability during development.</w:t>
            </w:r>
          </w:p>
        </w:tc>
      </w:tr>
      <w:tr w:rsidR="00324FC1" w14:paraId="354A00A3" w14:textId="77777777">
        <w:trPr>
          <w:jc w:val="center"/>
        </w:trPr>
        <w:tc>
          <w:tcPr>
            <w:tcW w:w="5040" w:type="dxa"/>
          </w:tcPr>
          <w:p w14:paraId="68172EFE" w14:textId="77777777" w:rsidR="00324FC1" w:rsidRDefault="00000000">
            <w:pPr>
              <w:spacing w:after="40"/>
            </w:pPr>
            <w:r>
              <w:rPr>
                <w:b/>
                <w:color w:val="0B1F3A"/>
                <w:sz w:val="16"/>
              </w:rPr>
              <w:t>Separated layers</w:t>
            </w:r>
          </w:p>
        </w:tc>
        <w:tc>
          <w:tcPr>
            <w:tcW w:w="5040" w:type="dxa"/>
          </w:tcPr>
          <w:p w14:paraId="5C72A5A8" w14:textId="77777777" w:rsidR="00324FC1" w:rsidRDefault="00000000">
            <w:pPr>
              <w:spacing w:after="40"/>
            </w:pPr>
            <w:r>
              <w:rPr>
                <w:sz w:val="16"/>
              </w:rPr>
              <w:t>Raw data, transformed metrics, and generated narrative should remain separate in code and storage.</w:t>
            </w:r>
          </w:p>
        </w:tc>
      </w:tr>
      <w:tr w:rsidR="00324FC1" w14:paraId="6CF2F2D4" w14:textId="77777777">
        <w:trPr>
          <w:jc w:val="center"/>
        </w:trPr>
        <w:tc>
          <w:tcPr>
            <w:tcW w:w="5040" w:type="dxa"/>
          </w:tcPr>
          <w:p w14:paraId="7307488D" w14:textId="77777777" w:rsidR="00324FC1" w:rsidRDefault="00000000">
            <w:pPr>
              <w:spacing w:after="40"/>
            </w:pPr>
            <w:r>
              <w:rPr>
                <w:b/>
                <w:color w:val="0B1F3A"/>
                <w:sz w:val="16"/>
              </w:rPr>
              <w:t>Claim schema validation</w:t>
            </w:r>
          </w:p>
        </w:tc>
        <w:tc>
          <w:tcPr>
            <w:tcW w:w="5040" w:type="dxa"/>
          </w:tcPr>
          <w:p w14:paraId="7977332B" w14:textId="77777777" w:rsidR="00324FC1" w:rsidRDefault="00000000">
            <w:pPr>
              <w:spacing w:after="40"/>
            </w:pPr>
            <w:r>
              <w:rPr>
                <w:sz w:val="16"/>
              </w:rPr>
              <w:t>Narrative outputs should be validated as structured claim objects rather than free-form paragraphs.</w:t>
            </w:r>
          </w:p>
        </w:tc>
      </w:tr>
      <w:tr w:rsidR="00324FC1" w14:paraId="29AA2943" w14:textId="77777777">
        <w:trPr>
          <w:jc w:val="center"/>
        </w:trPr>
        <w:tc>
          <w:tcPr>
            <w:tcW w:w="5040" w:type="dxa"/>
          </w:tcPr>
          <w:p w14:paraId="3F5A92BF" w14:textId="77777777" w:rsidR="00324FC1" w:rsidRDefault="00000000">
            <w:pPr>
              <w:spacing w:after="40"/>
            </w:pPr>
            <w:r>
              <w:rPr>
                <w:b/>
                <w:color w:val="0B1F3A"/>
                <w:sz w:val="16"/>
              </w:rPr>
              <w:t>Unsupported-claim rejection</w:t>
            </w:r>
          </w:p>
        </w:tc>
        <w:tc>
          <w:tcPr>
            <w:tcW w:w="5040" w:type="dxa"/>
          </w:tcPr>
          <w:p w14:paraId="10BC7A3D" w14:textId="77777777" w:rsidR="00324FC1" w:rsidRDefault="00000000">
            <w:pPr>
              <w:spacing w:after="40"/>
            </w:pPr>
            <w:r>
              <w:rPr>
                <w:sz w:val="16"/>
              </w:rPr>
              <w:t>Tests should confirm that claims without URLs or source names are blocked.</w:t>
            </w:r>
          </w:p>
        </w:tc>
      </w:tr>
      <w:tr w:rsidR="00324FC1" w14:paraId="7BE2D2C4" w14:textId="77777777">
        <w:trPr>
          <w:jc w:val="center"/>
        </w:trPr>
        <w:tc>
          <w:tcPr>
            <w:tcW w:w="5040" w:type="dxa"/>
          </w:tcPr>
          <w:p w14:paraId="7FFDC488" w14:textId="77777777" w:rsidR="00324FC1" w:rsidRDefault="00000000">
            <w:pPr>
              <w:spacing w:after="40"/>
            </w:pPr>
            <w:r>
              <w:rPr>
                <w:b/>
                <w:color w:val="0B1F3A"/>
                <w:sz w:val="16"/>
              </w:rPr>
              <w:t>Explicit limitations</w:t>
            </w:r>
          </w:p>
        </w:tc>
        <w:tc>
          <w:tcPr>
            <w:tcW w:w="5040" w:type="dxa"/>
          </w:tcPr>
          <w:p w14:paraId="45698367" w14:textId="77777777" w:rsidR="00324FC1" w:rsidRDefault="00000000">
            <w:pPr>
              <w:spacing w:after="40"/>
            </w:pPr>
            <w:r>
              <w:rPr>
                <w:sz w:val="16"/>
              </w:rPr>
              <w:t>The UI and README should state that the tool is a public-data snapshot, not a complete market forecast.</w:t>
            </w:r>
          </w:p>
        </w:tc>
      </w:tr>
    </w:tbl>
    <w:p w14:paraId="47BCACED" w14:textId="77777777" w:rsidR="00324FC1" w:rsidRDefault="00000000">
      <w:r>
        <w:br w:type="page"/>
      </w:r>
    </w:p>
    <w:p w14:paraId="2C42E687" w14:textId="77777777" w:rsidR="00324FC1" w:rsidRDefault="00000000">
      <w:pPr>
        <w:pStyle w:val="Heading1"/>
      </w:pPr>
      <w:r>
        <w:lastRenderedPageBreak/>
        <w:t>8. Development Roadmap</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2515"/>
        <w:gridCol w:w="2516"/>
        <w:gridCol w:w="2517"/>
        <w:gridCol w:w="2516"/>
      </w:tblGrid>
      <w:tr w:rsidR="00324FC1" w14:paraId="0387E08E" w14:textId="77777777">
        <w:trPr>
          <w:jc w:val="center"/>
        </w:trPr>
        <w:tc>
          <w:tcPr>
            <w:tcW w:w="2520" w:type="dxa"/>
            <w:shd w:val="clear" w:color="auto" w:fill="0B1F3A"/>
          </w:tcPr>
          <w:p w14:paraId="1D928823" w14:textId="77777777" w:rsidR="00324FC1" w:rsidRDefault="00000000">
            <w:pPr>
              <w:spacing w:after="40"/>
            </w:pPr>
            <w:r>
              <w:rPr>
                <w:b/>
                <w:color w:val="FFFFFF"/>
                <w:sz w:val="16"/>
              </w:rPr>
              <w:t>Phase</w:t>
            </w:r>
          </w:p>
        </w:tc>
        <w:tc>
          <w:tcPr>
            <w:tcW w:w="2520" w:type="dxa"/>
            <w:shd w:val="clear" w:color="auto" w:fill="0B1F3A"/>
          </w:tcPr>
          <w:p w14:paraId="197D57F2" w14:textId="77777777" w:rsidR="00324FC1" w:rsidRDefault="00000000">
            <w:pPr>
              <w:spacing w:after="40"/>
            </w:pPr>
            <w:r>
              <w:rPr>
                <w:b/>
                <w:color w:val="FFFFFF"/>
                <w:sz w:val="16"/>
              </w:rPr>
              <w:t>Objective</w:t>
            </w:r>
          </w:p>
        </w:tc>
        <w:tc>
          <w:tcPr>
            <w:tcW w:w="2520" w:type="dxa"/>
            <w:shd w:val="clear" w:color="auto" w:fill="0B1F3A"/>
          </w:tcPr>
          <w:p w14:paraId="78A39F59" w14:textId="77777777" w:rsidR="00324FC1" w:rsidRDefault="00000000">
            <w:pPr>
              <w:spacing w:after="40"/>
            </w:pPr>
            <w:r>
              <w:rPr>
                <w:b/>
                <w:color w:val="FFFFFF"/>
                <w:sz w:val="16"/>
              </w:rPr>
              <w:t>Key Deliverables</w:t>
            </w:r>
          </w:p>
        </w:tc>
        <w:tc>
          <w:tcPr>
            <w:tcW w:w="2520" w:type="dxa"/>
            <w:shd w:val="clear" w:color="auto" w:fill="0B1F3A"/>
          </w:tcPr>
          <w:p w14:paraId="382521A1" w14:textId="77777777" w:rsidR="00324FC1" w:rsidRDefault="00000000">
            <w:pPr>
              <w:spacing w:after="40"/>
            </w:pPr>
            <w:r>
              <w:rPr>
                <w:b/>
                <w:color w:val="FFFFFF"/>
                <w:sz w:val="16"/>
              </w:rPr>
              <w:t>Exit Criteria</w:t>
            </w:r>
          </w:p>
        </w:tc>
      </w:tr>
      <w:tr w:rsidR="00324FC1" w14:paraId="71862A36" w14:textId="77777777">
        <w:trPr>
          <w:jc w:val="center"/>
        </w:trPr>
        <w:tc>
          <w:tcPr>
            <w:tcW w:w="2520" w:type="dxa"/>
          </w:tcPr>
          <w:p w14:paraId="0EBE4A82" w14:textId="77777777" w:rsidR="00324FC1" w:rsidRDefault="00000000">
            <w:pPr>
              <w:spacing w:after="40"/>
            </w:pPr>
            <w:r>
              <w:rPr>
                <w:sz w:val="15"/>
              </w:rPr>
              <w:t>Week 1: Data Foundation</w:t>
            </w:r>
          </w:p>
        </w:tc>
        <w:tc>
          <w:tcPr>
            <w:tcW w:w="2520" w:type="dxa"/>
          </w:tcPr>
          <w:p w14:paraId="353D0311" w14:textId="77777777" w:rsidR="00324FC1" w:rsidRDefault="00000000">
            <w:pPr>
              <w:spacing w:after="40"/>
            </w:pPr>
            <w:r>
              <w:rPr>
                <w:sz w:val="15"/>
              </w:rPr>
              <w:t>Make public data ingestion reliable.</w:t>
            </w:r>
          </w:p>
        </w:tc>
        <w:tc>
          <w:tcPr>
            <w:tcW w:w="2520" w:type="dxa"/>
          </w:tcPr>
          <w:p w14:paraId="00AB729B" w14:textId="77777777" w:rsidR="00324FC1" w:rsidRDefault="00000000">
            <w:pPr>
              <w:spacing w:after="40"/>
            </w:pPr>
            <w:r>
              <w:rPr>
                <w:sz w:val="15"/>
              </w:rPr>
              <w:t>Repo structure; ClinicalTrials.gov fetcher; ADC oncology query; raw JSON cache; SQLite schema; normalized trial table; initial Streamlit shell.</w:t>
            </w:r>
          </w:p>
        </w:tc>
        <w:tc>
          <w:tcPr>
            <w:tcW w:w="2520" w:type="dxa"/>
          </w:tcPr>
          <w:p w14:paraId="4C58461A" w14:textId="77777777" w:rsidR="00324FC1" w:rsidRDefault="00000000">
            <w:pPr>
              <w:spacing w:after="40"/>
            </w:pPr>
            <w:r>
              <w:rPr>
                <w:sz w:val="15"/>
              </w:rPr>
              <w:t>App can fetch, store, and display ADC oncology trials with sponsor, phase, status, dates, and source links.</w:t>
            </w:r>
          </w:p>
        </w:tc>
      </w:tr>
      <w:tr w:rsidR="00324FC1" w14:paraId="34CC1E49" w14:textId="77777777">
        <w:trPr>
          <w:jc w:val="center"/>
        </w:trPr>
        <w:tc>
          <w:tcPr>
            <w:tcW w:w="2520" w:type="dxa"/>
          </w:tcPr>
          <w:p w14:paraId="430E4BF5" w14:textId="77777777" w:rsidR="00324FC1" w:rsidRDefault="00000000">
            <w:pPr>
              <w:spacing w:after="40"/>
            </w:pPr>
            <w:r>
              <w:rPr>
                <w:sz w:val="15"/>
              </w:rPr>
              <w:t>Week 2: Analytics and Dashboard</w:t>
            </w:r>
          </w:p>
        </w:tc>
        <w:tc>
          <w:tcPr>
            <w:tcW w:w="2520" w:type="dxa"/>
          </w:tcPr>
          <w:p w14:paraId="1684D70A" w14:textId="77777777" w:rsidR="00324FC1" w:rsidRDefault="00000000">
            <w:pPr>
              <w:spacing w:after="40"/>
            </w:pPr>
            <w:r>
              <w:rPr>
                <w:sz w:val="15"/>
              </w:rPr>
              <w:t>Turn raw data into strategy views.</w:t>
            </w:r>
          </w:p>
        </w:tc>
        <w:tc>
          <w:tcPr>
            <w:tcW w:w="2520" w:type="dxa"/>
          </w:tcPr>
          <w:p w14:paraId="013A56BB" w14:textId="77777777" w:rsidR="00324FC1" w:rsidRDefault="00000000">
            <w:pPr>
              <w:spacing w:after="40"/>
            </w:pPr>
            <w:r>
              <w:rPr>
                <w:sz w:val="15"/>
              </w:rPr>
              <w:t>Pipeline density metrics; sponsor leaderboard; phase/status breakdown; trial start/completion trends; catalyst calendar; filters; data freshness display.</w:t>
            </w:r>
          </w:p>
        </w:tc>
        <w:tc>
          <w:tcPr>
            <w:tcW w:w="2520" w:type="dxa"/>
          </w:tcPr>
          <w:p w14:paraId="361DEAF9" w14:textId="77777777" w:rsidR="00324FC1" w:rsidRDefault="00000000">
            <w:pPr>
              <w:spacing w:after="40"/>
            </w:pPr>
            <w:r>
              <w:rPr>
                <w:sz w:val="15"/>
              </w:rPr>
              <w:t>Reviewer can understand the ADC oncology landscape without reading raw records.</w:t>
            </w:r>
          </w:p>
        </w:tc>
      </w:tr>
      <w:tr w:rsidR="00324FC1" w14:paraId="29FE9F64" w14:textId="77777777">
        <w:trPr>
          <w:jc w:val="center"/>
        </w:trPr>
        <w:tc>
          <w:tcPr>
            <w:tcW w:w="2520" w:type="dxa"/>
          </w:tcPr>
          <w:p w14:paraId="15B2B4EF" w14:textId="77777777" w:rsidR="00324FC1" w:rsidRDefault="00000000">
            <w:pPr>
              <w:spacing w:after="40"/>
            </w:pPr>
            <w:r>
              <w:rPr>
                <w:sz w:val="15"/>
              </w:rPr>
              <w:t>Week 3: Reliability and Polish</w:t>
            </w:r>
          </w:p>
        </w:tc>
        <w:tc>
          <w:tcPr>
            <w:tcW w:w="2520" w:type="dxa"/>
          </w:tcPr>
          <w:p w14:paraId="03D3E335" w14:textId="77777777" w:rsidR="00324FC1" w:rsidRDefault="00000000">
            <w:pPr>
              <w:spacing w:after="40"/>
            </w:pPr>
            <w:r>
              <w:rPr>
                <w:sz w:val="15"/>
              </w:rPr>
              <w:t>Make the product credible and shareable.</w:t>
            </w:r>
          </w:p>
        </w:tc>
        <w:tc>
          <w:tcPr>
            <w:tcW w:w="2520" w:type="dxa"/>
          </w:tcPr>
          <w:p w14:paraId="72C02C70" w14:textId="77777777" w:rsidR="00324FC1" w:rsidRDefault="00000000">
            <w:pPr>
              <w:spacing w:after="40"/>
            </w:pPr>
            <w:r>
              <w:rPr>
                <w:sz w:val="15"/>
              </w:rPr>
              <w:t>Citation-enforced narrative layer; claim schema validation; unsupported-claim rejection; evidence table; Streamlit deployment; README; screenshots; basic tests.</w:t>
            </w:r>
          </w:p>
        </w:tc>
        <w:tc>
          <w:tcPr>
            <w:tcW w:w="2520" w:type="dxa"/>
          </w:tcPr>
          <w:p w14:paraId="5175A9C4" w14:textId="77777777" w:rsidR="00324FC1" w:rsidRDefault="00000000">
            <w:pPr>
              <w:spacing w:after="40"/>
            </w:pPr>
            <w:r>
              <w:rPr>
                <w:sz w:val="15"/>
              </w:rPr>
              <w:t>The deployed app is reliable enough to show publicly and polished enough for portfolio use.</w:t>
            </w:r>
          </w:p>
        </w:tc>
      </w:tr>
    </w:tbl>
    <w:p w14:paraId="28359B58" w14:textId="77777777" w:rsidR="00324FC1" w:rsidRDefault="00000000">
      <w:pPr>
        <w:pStyle w:val="Heading1"/>
      </w:pPr>
      <w:r>
        <w:t>9. Key Risks and Mitigations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355"/>
        <w:gridCol w:w="3355"/>
        <w:gridCol w:w="3354"/>
      </w:tblGrid>
      <w:tr w:rsidR="00324FC1" w14:paraId="07CF0D82" w14:textId="77777777">
        <w:trPr>
          <w:jc w:val="center"/>
        </w:trPr>
        <w:tc>
          <w:tcPr>
            <w:tcW w:w="3360" w:type="dxa"/>
            <w:shd w:val="clear" w:color="auto" w:fill="16324F"/>
          </w:tcPr>
          <w:p w14:paraId="2B95348B" w14:textId="77777777" w:rsidR="00324FC1" w:rsidRDefault="00000000">
            <w:pPr>
              <w:spacing w:after="40"/>
            </w:pPr>
            <w:r>
              <w:rPr>
                <w:b/>
                <w:color w:val="FFFFFF"/>
                <w:sz w:val="16"/>
              </w:rPr>
              <w:t>Risk</w:t>
            </w:r>
          </w:p>
        </w:tc>
        <w:tc>
          <w:tcPr>
            <w:tcW w:w="3360" w:type="dxa"/>
            <w:shd w:val="clear" w:color="auto" w:fill="16324F"/>
          </w:tcPr>
          <w:p w14:paraId="160D8D78" w14:textId="77777777" w:rsidR="00324FC1" w:rsidRDefault="00000000">
            <w:pPr>
              <w:spacing w:after="40"/>
            </w:pPr>
            <w:r>
              <w:rPr>
                <w:b/>
                <w:color w:val="FFFFFF"/>
                <w:sz w:val="16"/>
              </w:rPr>
              <w:t>Why It Matters</w:t>
            </w:r>
          </w:p>
        </w:tc>
        <w:tc>
          <w:tcPr>
            <w:tcW w:w="3360" w:type="dxa"/>
            <w:shd w:val="clear" w:color="auto" w:fill="16324F"/>
          </w:tcPr>
          <w:p w14:paraId="20F8E753" w14:textId="77777777" w:rsidR="00324FC1" w:rsidRDefault="00000000">
            <w:pPr>
              <w:spacing w:after="40"/>
            </w:pPr>
            <w:r>
              <w:rPr>
                <w:b/>
                <w:color w:val="FFFFFF"/>
                <w:sz w:val="16"/>
              </w:rPr>
              <w:t>Mitigation</w:t>
            </w:r>
          </w:p>
        </w:tc>
      </w:tr>
      <w:tr w:rsidR="00324FC1" w14:paraId="287568AE" w14:textId="77777777">
        <w:trPr>
          <w:jc w:val="center"/>
        </w:trPr>
        <w:tc>
          <w:tcPr>
            <w:tcW w:w="3360" w:type="dxa"/>
          </w:tcPr>
          <w:p w14:paraId="2D45EA1A" w14:textId="77777777" w:rsidR="00324FC1" w:rsidRDefault="00000000">
            <w:pPr>
              <w:spacing w:after="40"/>
            </w:pPr>
            <w:r>
              <w:rPr>
                <w:sz w:val="15"/>
              </w:rPr>
              <w:t>Scope creep</w:t>
            </w:r>
          </w:p>
        </w:tc>
        <w:tc>
          <w:tcPr>
            <w:tcW w:w="3360" w:type="dxa"/>
          </w:tcPr>
          <w:p w14:paraId="6E32B1EC" w14:textId="77777777" w:rsidR="00324FC1" w:rsidRDefault="00000000">
            <w:pPr>
              <w:spacing w:after="40"/>
            </w:pPr>
            <w:r>
              <w:rPr>
                <w:sz w:val="15"/>
              </w:rPr>
              <w:t>The project could become another complex multi-agent system.</w:t>
            </w:r>
          </w:p>
        </w:tc>
        <w:tc>
          <w:tcPr>
            <w:tcW w:w="3360" w:type="dxa"/>
          </w:tcPr>
          <w:p w14:paraId="29E099B4" w14:textId="77777777" w:rsidR="00324FC1" w:rsidRDefault="00000000">
            <w:pPr>
              <w:spacing w:after="40"/>
            </w:pPr>
            <w:r>
              <w:rPr>
                <w:sz w:val="15"/>
              </w:rPr>
              <w:t>Keep MVP to one TA, one page, and public sources only.</w:t>
            </w:r>
          </w:p>
        </w:tc>
      </w:tr>
      <w:tr w:rsidR="00324FC1" w14:paraId="39C33015" w14:textId="77777777">
        <w:trPr>
          <w:jc w:val="center"/>
        </w:trPr>
        <w:tc>
          <w:tcPr>
            <w:tcW w:w="3360" w:type="dxa"/>
          </w:tcPr>
          <w:p w14:paraId="3B3DB055" w14:textId="77777777" w:rsidR="00324FC1" w:rsidRDefault="00000000">
            <w:pPr>
              <w:spacing w:after="40"/>
            </w:pPr>
            <w:r>
              <w:rPr>
                <w:sz w:val="15"/>
              </w:rPr>
              <w:t>Hallucinated narrative</w:t>
            </w:r>
          </w:p>
        </w:tc>
        <w:tc>
          <w:tcPr>
            <w:tcW w:w="3360" w:type="dxa"/>
          </w:tcPr>
          <w:p w14:paraId="48A26D8B" w14:textId="77777777" w:rsidR="00324FC1" w:rsidRDefault="00000000">
            <w:pPr>
              <w:spacing w:after="40"/>
            </w:pPr>
            <w:r>
              <w:rPr>
                <w:sz w:val="15"/>
              </w:rPr>
              <w:t>Unsupported claims would undermine credibility immediately.</w:t>
            </w:r>
          </w:p>
        </w:tc>
        <w:tc>
          <w:tcPr>
            <w:tcW w:w="3360" w:type="dxa"/>
          </w:tcPr>
          <w:p w14:paraId="1A513DF9" w14:textId="77777777" w:rsidR="00324FC1" w:rsidRDefault="00000000">
            <w:pPr>
              <w:spacing w:after="40"/>
            </w:pPr>
            <w:r>
              <w:rPr>
                <w:sz w:val="15"/>
              </w:rPr>
              <w:t>Enforce claim/source schema and block unsupported claims.</w:t>
            </w:r>
          </w:p>
        </w:tc>
      </w:tr>
      <w:tr w:rsidR="00324FC1" w14:paraId="63837C51" w14:textId="77777777">
        <w:trPr>
          <w:jc w:val="center"/>
        </w:trPr>
        <w:tc>
          <w:tcPr>
            <w:tcW w:w="3360" w:type="dxa"/>
          </w:tcPr>
          <w:p w14:paraId="10185911" w14:textId="77777777" w:rsidR="00324FC1" w:rsidRDefault="00000000">
            <w:pPr>
              <w:spacing w:after="40"/>
            </w:pPr>
            <w:r>
              <w:rPr>
                <w:sz w:val="15"/>
              </w:rPr>
              <w:t>Messy ClinicalTrials.gov data</w:t>
            </w:r>
          </w:p>
        </w:tc>
        <w:tc>
          <w:tcPr>
            <w:tcW w:w="3360" w:type="dxa"/>
          </w:tcPr>
          <w:p w14:paraId="111DA6F0" w14:textId="77777777" w:rsidR="00324FC1" w:rsidRDefault="00000000">
            <w:pPr>
              <w:spacing w:after="40"/>
            </w:pPr>
            <w:r>
              <w:rPr>
                <w:sz w:val="15"/>
              </w:rPr>
              <w:t>Records vary in completeness and consistency.</w:t>
            </w:r>
          </w:p>
        </w:tc>
        <w:tc>
          <w:tcPr>
            <w:tcW w:w="3360" w:type="dxa"/>
          </w:tcPr>
          <w:p w14:paraId="3999FCC9" w14:textId="77777777" w:rsidR="00324FC1" w:rsidRDefault="00000000">
            <w:pPr>
              <w:spacing w:after="40"/>
            </w:pPr>
            <w:r>
              <w:rPr>
                <w:sz w:val="15"/>
              </w:rPr>
              <w:t>Display missingness clearly and avoid over-interpreting incomplete fields.</w:t>
            </w:r>
          </w:p>
        </w:tc>
      </w:tr>
      <w:tr w:rsidR="00324FC1" w14:paraId="7F08623D" w14:textId="77777777">
        <w:trPr>
          <w:jc w:val="center"/>
        </w:trPr>
        <w:tc>
          <w:tcPr>
            <w:tcW w:w="3360" w:type="dxa"/>
          </w:tcPr>
          <w:p w14:paraId="46450C56" w14:textId="77777777" w:rsidR="00324FC1" w:rsidRDefault="00000000">
            <w:pPr>
              <w:spacing w:after="40"/>
            </w:pPr>
            <w:r>
              <w:rPr>
                <w:sz w:val="15"/>
              </w:rPr>
              <w:t>News access limits</w:t>
            </w:r>
          </w:p>
        </w:tc>
        <w:tc>
          <w:tcPr>
            <w:tcW w:w="3360" w:type="dxa"/>
          </w:tcPr>
          <w:p w14:paraId="61F72212" w14:textId="77777777" w:rsidR="00324FC1" w:rsidRDefault="00000000">
            <w:pPr>
              <w:spacing w:after="40"/>
            </w:pPr>
            <w:r>
              <w:rPr>
                <w:sz w:val="15"/>
              </w:rPr>
              <w:t>Some industry sources may be paywalled or inconsistent.</w:t>
            </w:r>
          </w:p>
        </w:tc>
        <w:tc>
          <w:tcPr>
            <w:tcW w:w="3360" w:type="dxa"/>
          </w:tcPr>
          <w:p w14:paraId="60E2FCC8" w14:textId="77777777" w:rsidR="00324FC1" w:rsidRDefault="00000000">
            <w:pPr>
              <w:spacing w:after="40"/>
            </w:pPr>
            <w:r>
              <w:rPr>
                <w:sz w:val="15"/>
              </w:rPr>
              <w:t>Treat news as overlay, not backbone.</w:t>
            </w:r>
          </w:p>
        </w:tc>
      </w:tr>
      <w:tr w:rsidR="00324FC1" w14:paraId="76FB7DB3" w14:textId="77777777">
        <w:trPr>
          <w:jc w:val="center"/>
        </w:trPr>
        <w:tc>
          <w:tcPr>
            <w:tcW w:w="3360" w:type="dxa"/>
          </w:tcPr>
          <w:p w14:paraId="7FADB957" w14:textId="77777777" w:rsidR="00324FC1" w:rsidRDefault="00000000">
            <w:pPr>
              <w:spacing w:after="40"/>
            </w:pPr>
            <w:r>
              <w:rPr>
                <w:sz w:val="15"/>
              </w:rPr>
              <w:t>Weak differentiation extraction</w:t>
            </w:r>
          </w:p>
        </w:tc>
        <w:tc>
          <w:tcPr>
            <w:tcW w:w="3360" w:type="dxa"/>
          </w:tcPr>
          <w:p w14:paraId="46AC301F" w14:textId="77777777" w:rsidR="00324FC1" w:rsidRDefault="00000000">
            <w:pPr>
              <w:spacing w:after="40"/>
            </w:pPr>
            <w:r>
              <w:rPr>
                <w:sz w:val="15"/>
              </w:rPr>
              <w:t>Mechanism and target data may be inconsistent.</w:t>
            </w:r>
          </w:p>
        </w:tc>
        <w:tc>
          <w:tcPr>
            <w:tcW w:w="3360" w:type="dxa"/>
          </w:tcPr>
          <w:p w14:paraId="56BEF64B" w14:textId="77777777" w:rsidR="00324FC1" w:rsidRDefault="00000000">
            <w:pPr>
              <w:spacing w:after="40"/>
            </w:pPr>
            <w:r>
              <w:rPr>
                <w:sz w:val="15"/>
              </w:rPr>
              <w:t>Start with structured fields and add manual mapping only where justified.</w:t>
            </w:r>
          </w:p>
        </w:tc>
      </w:tr>
      <w:tr w:rsidR="00324FC1" w14:paraId="1601E8FD" w14:textId="77777777">
        <w:trPr>
          <w:jc w:val="center"/>
        </w:trPr>
        <w:tc>
          <w:tcPr>
            <w:tcW w:w="3360" w:type="dxa"/>
          </w:tcPr>
          <w:p w14:paraId="29122FCB" w14:textId="77777777" w:rsidR="00324FC1" w:rsidRDefault="00000000">
            <w:pPr>
              <w:spacing w:after="40"/>
            </w:pPr>
            <w:r>
              <w:rPr>
                <w:sz w:val="15"/>
              </w:rPr>
              <w:t>Over-polished UI, weak validation</w:t>
            </w:r>
          </w:p>
        </w:tc>
        <w:tc>
          <w:tcPr>
            <w:tcW w:w="3360" w:type="dxa"/>
          </w:tcPr>
          <w:p w14:paraId="39C04AA6" w14:textId="77777777" w:rsidR="00324FC1" w:rsidRDefault="00000000">
            <w:pPr>
              <w:spacing w:after="40"/>
            </w:pPr>
            <w:r>
              <w:rPr>
                <w:sz w:val="15"/>
              </w:rPr>
              <w:t>A visually attractive dashboard can still be unreliable.</w:t>
            </w:r>
          </w:p>
        </w:tc>
        <w:tc>
          <w:tcPr>
            <w:tcW w:w="3360" w:type="dxa"/>
          </w:tcPr>
          <w:p w14:paraId="20FC9C39" w14:textId="77777777" w:rsidR="00324FC1" w:rsidRDefault="00000000">
            <w:pPr>
              <w:spacing w:after="40"/>
            </w:pPr>
            <w:r>
              <w:rPr>
                <w:sz w:val="15"/>
              </w:rPr>
              <w:t>Prioritize source links, freshness date, schema tests, and evidence table.</w:t>
            </w:r>
          </w:p>
        </w:tc>
      </w:tr>
      <w:tr w:rsidR="00324FC1" w14:paraId="386FF22A" w14:textId="77777777">
        <w:trPr>
          <w:jc w:val="center"/>
        </w:trPr>
        <w:tc>
          <w:tcPr>
            <w:tcW w:w="3360" w:type="dxa"/>
          </w:tcPr>
          <w:p w14:paraId="6253E0D0" w14:textId="77777777" w:rsidR="00324FC1" w:rsidRDefault="00000000">
            <w:pPr>
              <w:spacing w:after="40"/>
            </w:pPr>
            <w:r>
              <w:rPr>
                <w:sz w:val="15"/>
              </w:rPr>
              <w:t>Reviewer confusion</w:t>
            </w:r>
          </w:p>
        </w:tc>
        <w:tc>
          <w:tcPr>
            <w:tcW w:w="3360" w:type="dxa"/>
          </w:tcPr>
          <w:p w14:paraId="46E48087" w14:textId="77777777" w:rsidR="00324FC1" w:rsidRDefault="00000000">
            <w:pPr>
              <w:spacing w:after="40"/>
            </w:pPr>
            <w:r>
              <w:rPr>
                <w:sz w:val="15"/>
              </w:rPr>
              <w:t>The project may be misread as claiming enterprise completeness.</w:t>
            </w:r>
          </w:p>
        </w:tc>
        <w:tc>
          <w:tcPr>
            <w:tcW w:w="3360" w:type="dxa"/>
          </w:tcPr>
          <w:p w14:paraId="47238346" w14:textId="77777777" w:rsidR="00324FC1" w:rsidRDefault="00000000">
            <w:pPr>
              <w:spacing w:after="40"/>
            </w:pPr>
            <w:r>
              <w:rPr>
                <w:sz w:val="15"/>
              </w:rPr>
              <w:t>README should state purpose, limits, and reliability architecture clearly.</w:t>
            </w:r>
          </w:p>
        </w:tc>
      </w:tr>
    </w:tbl>
    <w:p w14:paraId="39AA1804" w14:textId="77777777" w:rsidR="00324FC1" w:rsidRDefault="00000000">
      <w:pPr>
        <w:pStyle w:val="Heading1"/>
      </w:pPr>
      <w:r>
        <w:t>10. AI Tooling and Development Discipline</w:t>
      </w:r>
    </w:p>
    <w:p w14:paraId="4D68145D" w14:textId="77777777" w:rsidR="00324FC1" w:rsidRDefault="00000000">
      <w:r>
        <w:t>The development process should preserve token discipline and avoid using high-cost reasoning models for routine implementation. Codex should be the default tool for code generation once the specification is clear. Reasoning models should be reserved for architecture, reliability design, prompt design, ambiguous debugging, and portfolio framing.</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3354"/>
        <w:gridCol w:w="3355"/>
        <w:gridCol w:w="3355"/>
      </w:tblGrid>
      <w:tr w:rsidR="00324FC1" w14:paraId="6669652A" w14:textId="77777777">
        <w:trPr>
          <w:jc w:val="center"/>
        </w:trPr>
        <w:tc>
          <w:tcPr>
            <w:tcW w:w="3360" w:type="dxa"/>
            <w:shd w:val="clear" w:color="auto" w:fill="0B1F3A"/>
          </w:tcPr>
          <w:p w14:paraId="2CE2157E" w14:textId="77777777" w:rsidR="00324FC1" w:rsidRDefault="00000000">
            <w:pPr>
              <w:spacing w:after="40"/>
            </w:pPr>
            <w:r>
              <w:rPr>
                <w:b/>
                <w:color w:val="FFFFFF"/>
                <w:sz w:val="16"/>
              </w:rPr>
              <w:t>Task Type</w:t>
            </w:r>
          </w:p>
        </w:tc>
        <w:tc>
          <w:tcPr>
            <w:tcW w:w="3360" w:type="dxa"/>
            <w:shd w:val="clear" w:color="auto" w:fill="0B1F3A"/>
          </w:tcPr>
          <w:p w14:paraId="785F5737" w14:textId="77777777" w:rsidR="00324FC1" w:rsidRDefault="00000000">
            <w:pPr>
              <w:spacing w:after="40"/>
            </w:pPr>
            <w:r>
              <w:rPr>
                <w:b/>
                <w:color w:val="FFFFFF"/>
                <w:sz w:val="16"/>
              </w:rPr>
              <w:t>Recommended Tool</w:t>
            </w:r>
          </w:p>
        </w:tc>
        <w:tc>
          <w:tcPr>
            <w:tcW w:w="3360" w:type="dxa"/>
            <w:shd w:val="clear" w:color="auto" w:fill="0B1F3A"/>
          </w:tcPr>
          <w:p w14:paraId="7CA1CE04" w14:textId="77777777" w:rsidR="00324FC1" w:rsidRDefault="00000000">
            <w:pPr>
              <w:spacing w:after="40"/>
            </w:pPr>
            <w:r>
              <w:rPr>
                <w:b/>
                <w:color w:val="FFFFFF"/>
                <w:sz w:val="16"/>
              </w:rPr>
              <w:t>Rationale</w:t>
            </w:r>
          </w:p>
        </w:tc>
      </w:tr>
      <w:tr w:rsidR="00324FC1" w14:paraId="14B15724" w14:textId="77777777">
        <w:trPr>
          <w:jc w:val="center"/>
        </w:trPr>
        <w:tc>
          <w:tcPr>
            <w:tcW w:w="3360" w:type="dxa"/>
          </w:tcPr>
          <w:p w14:paraId="745AE3E1" w14:textId="77777777" w:rsidR="00324FC1" w:rsidRDefault="00000000">
            <w:pPr>
              <w:spacing w:after="40"/>
            </w:pPr>
            <w:r>
              <w:rPr>
                <w:sz w:val="16"/>
              </w:rPr>
              <w:t>Ingestion scripts, schemas, Streamlit scaffolding, tests</w:t>
            </w:r>
          </w:p>
        </w:tc>
        <w:tc>
          <w:tcPr>
            <w:tcW w:w="3360" w:type="dxa"/>
          </w:tcPr>
          <w:p w14:paraId="5DE536F5" w14:textId="77777777" w:rsidR="00324FC1" w:rsidRDefault="00000000">
            <w:pPr>
              <w:spacing w:after="40"/>
            </w:pPr>
            <w:r>
              <w:rPr>
                <w:sz w:val="16"/>
              </w:rPr>
              <w:t>Codex</w:t>
            </w:r>
          </w:p>
        </w:tc>
        <w:tc>
          <w:tcPr>
            <w:tcW w:w="3360" w:type="dxa"/>
          </w:tcPr>
          <w:p w14:paraId="3D7A3789" w14:textId="77777777" w:rsidR="00324FC1" w:rsidRDefault="00000000">
            <w:pPr>
              <w:spacing w:after="40"/>
            </w:pPr>
            <w:r>
              <w:rPr>
                <w:sz w:val="16"/>
              </w:rPr>
              <w:t>Routine implementation with clear specifications.</w:t>
            </w:r>
          </w:p>
        </w:tc>
      </w:tr>
      <w:tr w:rsidR="00324FC1" w14:paraId="7F06441E" w14:textId="77777777">
        <w:trPr>
          <w:jc w:val="center"/>
        </w:trPr>
        <w:tc>
          <w:tcPr>
            <w:tcW w:w="3360" w:type="dxa"/>
          </w:tcPr>
          <w:p w14:paraId="7268C7C8" w14:textId="77777777" w:rsidR="00324FC1" w:rsidRDefault="00000000">
            <w:pPr>
              <w:spacing w:after="40"/>
            </w:pPr>
            <w:r>
              <w:rPr>
                <w:sz w:val="16"/>
              </w:rPr>
              <w:t>Short debugging, factual checks, regex or snippet review</w:t>
            </w:r>
          </w:p>
        </w:tc>
        <w:tc>
          <w:tcPr>
            <w:tcW w:w="3360" w:type="dxa"/>
          </w:tcPr>
          <w:p w14:paraId="38C53D57" w14:textId="77777777" w:rsidR="00324FC1" w:rsidRDefault="00000000">
            <w:pPr>
              <w:spacing w:after="40"/>
            </w:pPr>
            <w:r>
              <w:rPr>
                <w:sz w:val="16"/>
              </w:rPr>
              <w:t>Haiku-tier model</w:t>
            </w:r>
          </w:p>
        </w:tc>
        <w:tc>
          <w:tcPr>
            <w:tcW w:w="3360" w:type="dxa"/>
          </w:tcPr>
          <w:p w14:paraId="01CF0BD9" w14:textId="77777777" w:rsidR="00324FC1" w:rsidRDefault="00000000">
            <w:pPr>
              <w:spacing w:after="40"/>
            </w:pPr>
            <w:r>
              <w:rPr>
                <w:sz w:val="16"/>
              </w:rPr>
              <w:t>Fast and low-cost for narrow tasks.</w:t>
            </w:r>
          </w:p>
        </w:tc>
      </w:tr>
      <w:tr w:rsidR="00324FC1" w14:paraId="79E917B9" w14:textId="77777777">
        <w:trPr>
          <w:jc w:val="center"/>
        </w:trPr>
        <w:tc>
          <w:tcPr>
            <w:tcW w:w="3360" w:type="dxa"/>
          </w:tcPr>
          <w:p w14:paraId="2E702D43" w14:textId="77777777" w:rsidR="00324FC1" w:rsidRDefault="00000000">
            <w:pPr>
              <w:spacing w:after="40"/>
            </w:pPr>
            <w:r>
              <w:rPr>
                <w:sz w:val="16"/>
              </w:rPr>
              <w:t>README, narrative prompt, UX trade-offs, citation-layer design</w:t>
            </w:r>
          </w:p>
        </w:tc>
        <w:tc>
          <w:tcPr>
            <w:tcW w:w="3360" w:type="dxa"/>
          </w:tcPr>
          <w:p w14:paraId="20851F36" w14:textId="77777777" w:rsidR="00324FC1" w:rsidRDefault="00000000">
            <w:pPr>
              <w:spacing w:after="40"/>
            </w:pPr>
            <w:r>
              <w:rPr>
                <w:sz w:val="16"/>
              </w:rPr>
              <w:t>Sonnet-tier model</w:t>
            </w:r>
          </w:p>
        </w:tc>
        <w:tc>
          <w:tcPr>
            <w:tcW w:w="3360" w:type="dxa"/>
          </w:tcPr>
          <w:p w14:paraId="2E0B131D" w14:textId="77777777" w:rsidR="00324FC1" w:rsidRDefault="00000000">
            <w:pPr>
              <w:spacing w:after="40"/>
            </w:pPr>
            <w:r>
              <w:rPr>
                <w:sz w:val="16"/>
              </w:rPr>
              <w:t>Good balance of reasoning quality and cost.</w:t>
            </w:r>
          </w:p>
        </w:tc>
      </w:tr>
      <w:tr w:rsidR="00324FC1" w14:paraId="3B0803E7" w14:textId="77777777">
        <w:trPr>
          <w:jc w:val="center"/>
        </w:trPr>
        <w:tc>
          <w:tcPr>
            <w:tcW w:w="3360" w:type="dxa"/>
          </w:tcPr>
          <w:p w14:paraId="7E400C63" w14:textId="77777777" w:rsidR="00324FC1" w:rsidRDefault="00000000">
            <w:pPr>
              <w:spacing w:after="40"/>
            </w:pPr>
            <w:r>
              <w:rPr>
                <w:sz w:val="16"/>
              </w:rPr>
              <w:t>High-stakes architecture or subtle data-integrity bugs</w:t>
            </w:r>
          </w:p>
        </w:tc>
        <w:tc>
          <w:tcPr>
            <w:tcW w:w="3360" w:type="dxa"/>
          </w:tcPr>
          <w:p w14:paraId="7A283FA7" w14:textId="77777777" w:rsidR="00324FC1" w:rsidRDefault="00000000">
            <w:pPr>
              <w:spacing w:after="40"/>
            </w:pPr>
            <w:r>
              <w:rPr>
                <w:sz w:val="16"/>
              </w:rPr>
              <w:t>Opus-tier model only if needed</w:t>
            </w:r>
          </w:p>
        </w:tc>
        <w:tc>
          <w:tcPr>
            <w:tcW w:w="3360" w:type="dxa"/>
          </w:tcPr>
          <w:p w14:paraId="751ED616" w14:textId="77777777" w:rsidR="00324FC1" w:rsidRDefault="00000000">
            <w:pPr>
              <w:spacing w:after="40"/>
            </w:pPr>
            <w:r>
              <w:rPr>
                <w:sz w:val="16"/>
              </w:rPr>
              <w:t>Reserve for decisions where a wrong call could cost days.</w:t>
            </w:r>
          </w:p>
        </w:tc>
      </w:tr>
    </w:tbl>
    <w:p w14:paraId="3D8A7CC6" w14:textId="77777777" w:rsidR="00324FC1" w:rsidRDefault="00000000">
      <w:pPr>
        <w:pStyle w:val="Heading1"/>
      </w:pPr>
      <w:r>
        <w:t>11. Portfolio Positioning</w:t>
      </w:r>
    </w:p>
    <w:p w14:paraId="04E19931" w14:textId="77777777" w:rsidR="00324FC1" w:rsidRDefault="00000000">
      <w:r>
        <w:t>The project should be positioned as a public-data pharmaceutical strategy dashboard, not as an enterprise-grade market intelligence replacement. The strongest framing is that it demonstrates the ability to combine life sciences strategy, public data engineering, product judgment, and reliability controls in a working deployed tool.</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5032"/>
        <w:gridCol w:w="5032"/>
      </w:tblGrid>
      <w:tr w:rsidR="00324FC1" w14:paraId="50590085" w14:textId="77777777">
        <w:trPr>
          <w:jc w:val="center"/>
        </w:trPr>
        <w:tc>
          <w:tcPr>
            <w:tcW w:w="5040" w:type="dxa"/>
            <w:shd w:val="clear" w:color="auto" w:fill="16324F"/>
          </w:tcPr>
          <w:p w14:paraId="5DBE976F" w14:textId="77777777" w:rsidR="00324FC1" w:rsidRDefault="00000000">
            <w:pPr>
              <w:spacing w:after="40"/>
            </w:pPr>
            <w:r>
              <w:rPr>
                <w:b/>
                <w:color w:val="FFFFFF"/>
                <w:sz w:val="16"/>
              </w:rPr>
              <w:lastRenderedPageBreak/>
              <w:t>Use Case</w:t>
            </w:r>
          </w:p>
        </w:tc>
        <w:tc>
          <w:tcPr>
            <w:tcW w:w="5040" w:type="dxa"/>
            <w:shd w:val="clear" w:color="auto" w:fill="16324F"/>
          </w:tcPr>
          <w:p w14:paraId="73C464B9" w14:textId="77777777" w:rsidR="00324FC1" w:rsidRDefault="00000000">
            <w:pPr>
              <w:spacing w:after="40"/>
            </w:pPr>
            <w:r>
              <w:rPr>
                <w:b/>
                <w:color w:val="FFFFFF"/>
                <w:sz w:val="16"/>
              </w:rPr>
              <w:t>Recommended Language</w:t>
            </w:r>
          </w:p>
        </w:tc>
      </w:tr>
      <w:tr w:rsidR="00324FC1" w14:paraId="2AF00DAB" w14:textId="77777777">
        <w:trPr>
          <w:jc w:val="center"/>
        </w:trPr>
        <w:tc>
          <w:tcPr>
            <w:tcW w:w="5040" w:type="dxa"/>
          </w:tcPr>
          <w:p w14:paraId="0175DD24" w14:textId="77777777" w:rsidR="00324FC1" w:rsidRDefault="00000000">
            <w:pPr>
              <w:spacing w:after="40"/>
            </w:pPr>
            <w:r>
              <w:rPr>
                <w:b/>
                <w:color w:val="0B1F3A"/>
                <w:sz w:val="16"/>
              </w:rPr>
              <w:t>One-line description</w:t>
            </w:r>
          </w:p>
        </w:tc>
        <w:tc>
          <w:tcPr>
            <w:tcW w:w="5040" w:type="dxa"/>
          </w:tcPr>
          <w:p w14:paraId="21B153FE" w14:textId="77777777" w:rsidR="00324FC1" w:rsidRDefault="00000000">
            <w:pPr>
              <w:spacing w:after="40"/>
            </w:pPr>
            <w:r>
              <w:rPr>
                <w:sz w:val="16"/>
              </w:rPr>
              <w:t>A public-data pharmaceutical strategy intelligence dashboard that transforms ClinicalTrials.gov and regulatory/news signals into a citation-backed therapeutic area snapshot.</w:t>
            </w:r>
          </w:p>
        </w:tc>
      </w:tr>
      <w:tr w:rsidR="00324FC1" w14:paraId="38A54E18" w14:textId="77777777">
        <w:trPr>
          <w:jc w:val="center"/>
        </w:trPr>
        <w:tc>
          <w:tcPr>
            <w:tcW w:w="5040" w:type="dxa"/>
          </w:tcPr>
          <w:p w14:paraId="564928A8" w14:textId="77777777" w:rsidR="00324FC1" w:rsidRDefault="00000000">
            <w:pPr>
              <w:spacing w:after="40"/>
            </w:pPr>
            <w:r>
              <w:rPr>
                <w:b/>
                <w:color w:val="0B1F3A"/>
                <w:sz w:val="16"/>
              </w:rPr>
              <w:t>Resume bullet</w:t>
            </w:r>
          </w:p>
        </w:tc>
        <w:tc>
          <w:tcPr>
            <w:tcW w:w="5040" w:type="dxa"/>
          </w:tcPr>
          <w:p w14:paraId="4FA99AD2" w14:textId="77777777" w:rsidR="00324FC1" w:rsidRDefault="00000000">
            <w:pPr>
              <w:spacing w:after="40"/>
            </w:pPr>
            <w:r>
              <w:rPr>
                <w:sz w:val="16"/>
              </w:rPr>
              <w:t>Built a public-data pharmaceutical intelligence dashboard in Python/Streamlit that converts ClinicalTrials.gov and regulatory/news signals into a citation-backed therapeutic area snapshot, including pipeline density, velocity, differentiation, and catalyst tracking for ADCs in oncology.</w:t>
            </w:r>
          </w:p>
        </w:tc>
      </w:tr>
      <w:tr w:rsidR="00324FC1" w14:paraId="787A0336" w14:textId="77777777">
        <w:trPr>
          <w:jc w:val="center"/>
        </w:trPr>
        <w:tc>
          <w:tcPr>
            <w:tcW w:w="5040" w:type="dxa"/>
          </w:tcPr>
          <w:p w14:paraId="38B1C676" w14:textId="77777777" w:rsidR="00324FC1" w:rsidRDefault="00000000">
            <w:pPr>
              <w:spacing w:after="40"/>
            </w:pPr>
            <w:r>
              <w:rPr>
                <w:b/>
                <w:color w:val="0B1F3A"/>
                <w:sz w:val="16"/>
              </w:rPr>
              <w:t>Stronger post-deployment bullet</w:t>
            </w:r>
          </w:p>
        </w:tc>
        <w:tc>
          <w:tcPr>
            <w:tcW w:w="5040" w:type="dxa"/>
          </w:tcPr>
          <w:p w14:paraId="17176B3F" w14:textId="77777777" w:rsidR="00324FC1" w:rsidRDefault="00000000">
            <w:pPr>
              <w:spacing w:after="40"/>
            </w:pPr>
            <w:r>
              <w:rPr>
                <w:sz w:val="16"/>
              </w:rPr>
              <w:t>Designed and deployed a public-data pharmaceutical strategic intelligence tool using Python, SQLite, ClinicalTrials.gov, and Streamlit; generated citation-backed oncology ADC landscape snapshots with schema-level controls preventing unsupported AI claims.</w:t>
            </w:r>
          </w:p>
        </w:tc>
      </w:tr>
      <w:tr w:rsidR="00324FC1" w14:paraId="1E3E5417" w14:textId="77777777">
        <w:trPr>
          <w:jc w:val="center"/>
        </w:trPr>
        <w:tc>
          <w:tcPr>
            <w:tcW w:w="5040" w:type="dxa"/>
          </w:tcPr>
          <w:p w14:paraId="7BDA18B6" w14:textId="77777777" w:rsidR="00324FC1" w:rsidRDefault="00000000">
            <w:pPr>
              <w:spacing w:after="40"/>
            </w:pPr>
            <w:r>
              <w:rPr>
                <w:b/>
                <w:color w:val="0B1F3A"/>
                <w:sz w:val="16"/>
              </w:rPr>
              <w:t>Reviewer takeaway</w:t>
            </w:r>
          </w:p>
        </w:tc>
        <w:tc>
          <w:tcPr>
            <w:tcW w:w="5040" w:type="dxa"/>
          </w:tcPr>
          <w:p w14:paraId="78F3061C" w14:textId="77777777" w:rsidR="00324FC1" w:rsidRDefault="00000000">
            <w:pPr>
              <w:spacing w:after="40"/>
            </w:pPr>
            <w:r>
              <w:rPr>
                <w:sz w:val="16"/>
              </w:rPr>
              <w:t>This project shows product judgment: the ability to build a narrow, reliable, externally shareable life sciences intelligence tool rather than overclaiming a broad AI platform.</w:t>
            </w:r>
          </w:p>
        </w:tc>
      </w:tr>
    </w:tbl>
    <w:p w14:paraId="582CA9D4" w14:textId="77777777" w:rsidR="00324FC1" w:rsidRDefault="00000000">
      <w:pPr>
        <w:pStyle w:val="Heading1"/>
      </w:pPr>
      <w:r>
        <w:t>12. Definition of Done</w:t>
      </w:r>
    </w:p>
    <w:p w14:paraId="447C220D" w14:textId="77777777" w:rsidR="00324FC1" w:rsidRDefault="00000000">
      <w:r>
        <w:t>The MVP should be considered complete only when the product is credible, deployed, and reviewable.</w:t>
      </w:r>
    </w:p>
    <w:p w14:paraId="6933261C" w14:textId="77777777" w:rsidR="00324FC1" w:rsidRDefault="00000000">
      <w:pPr>
        <w:pStyle w:val="ListBullet"/>
      </w:pPr>
      <w:r>
        <w:t>Streamlit app is deployed and accessible.</w:t>
      </w:r>
    </w:p>
    <w:p w14:paraId="6A49F4C2" w14:textId="77777777" w:rsidR="00324FC1" w:rsidRDefault="00000000">
      <w:pPr>
        <w:pStyle w:val="ListBullet"/>
      </w:pPr>
      <w:r>
        <w:t>GitHub repo is clean, readable, and includes setup instructions.</w:t>
      </w:r>
    </w:p>
    <w:p w14:paraId="323FA898" w14:textId="77777777" w:rsidR="00324FC1" w:rsidRDefault="00000000">
      <w:pPr>
        <w:pStyle w:val="ListBullet"/>
      </w:pPr>
      <w:r>
        <w:t>ClinicalTrials.gov ingestion works reproducibly.</w:t>
      </w:r>
    </w:p>
    <w:p w14:paraId="4F339B32" w14:textId="77777777" w:rsidR="00324FC1" w:rsidRDefault="00000000">
      <w:pPr>
        <w:pStyle w:val="ListBullet"/>
      </w:pPr>
      <w:r>
        <w:t>ADC oncology dashboard includes density, velocity, differentiation, and catalyst modules.</w:t>
      </w:r>
    </w:p>
    <w:p w14:paraId="09D5AE0D" w14:textId="77777777" w:rsidR="00324FC1" w:rsidRDefault="00000000">
      <w:pPr>
        <w:pStyle w:val="ListBullet"/>
      </w:pPr>
      <w:r>
        <w:t>Every strategic claim has a clickable source URL.</w:t>
      </w:r>
    </w:p>
    <w:p w14:paraId="6582D6E0" w14:textId="77777777" w:rsidR="00324FC1" w:rsidRDefault="00000000">
      <w:pPr>
        <w:pStyle w:val="ListBullet"/>
      </w:pPr>
      <w:r>
        <w:t>Unsupported claims are blocked by schema validation.</w:t>
      </w:r>
    </w:p>
    <w:p w14:paraId="677A4B61" w14:textId="77777777" w:rsidR="00324FC1" w:rsidRDefault="00000000">
      <w:pPr>
        <w:pStyle w:val="ListBullet"/>
      </w:pPr>
      <w:r>
        <w:t>The app displays data freshness and limitations.</w:t>
      </w:r>
    </w:p>
    <w:p w14:paraId="59AAB9AE" w14:textId="77777777" w:rsidR="00324FC1" w:rsidRDefault="00000000">
      <w:pPr>
        <w:pStyle w:val="ListBullet"/>
      </w:pPr>
      <w:r>
        <w:t>README explains purpose, architecture, data sources, limitations, and next steps.</w:t>
      </w:r>
    </w:p>
    <w:p w14:paraId="05A22234" w14:textId="77777777" w:rsidR="00324FC1" w:rsidRDefault="00000000">
      <w:pPr>
        <w:pStyle w:val="ListBullet"/>
      </w:pPr>
      <w:r>
        <w:t>A reviewer can understand the project in under two minutes.</w:t>
      </w:r>
    </w:p>
    <w:p w14:paraId="3806DE23" w14:textId="77777777" w:rsidR="00324FC1" w:rsidRDefault="00000000">
      <w:pPr>
        <w:pStyle w:val="ListBullet"/>
      </w:pPr>
      <w:r>
        <w:t>The tool feels credible, not inflated.</w:t>
      </w:r>
    </w:p>
    <w:p w14:paraId="7A84B5DC" w14:textId="77777777" w:rsidR="00324FC1" w:rsidRDefault="00000000">
      <w:pPr>
        <w:pStyle w:val="Heading1"/>
      </w:pPr>
      <w:r>
        <w:t>13. Final Recommendation</w:t>
      </w:r>
    </w:p>
    <w:p w14:paraId="5041AE42" w14:textId="77777777" w:rsidR="00324FC1" w:rsidRDefault="00000000">
      <w:r>
        <w:t>Proceed with the project, but protect the narrow scope. The strategic value is not in building the most complex possible system. It is in showing that a messy life sciences intelligence problem can be converted into a reliable, transparent, usable product.</w:t>
      </w:r>
    </w:p>
    <w:p w14:paraId="02C70534" w14:textId="77777777" w:rsidR="00324FC1" w:rsidRDefault="00000000">
      <w:pPr>
        <w:pStyle w:val="ExecutiveCallout"/>
      </w:pPr>
      <w:r>
        <w:rPr>
          <w:b/>
        </w:rPr>
        <w:t xml:space="preserve">Recommendation: </w:t>
      </w:r>
      <w:r>
        <w:t>Build the narrow MVP first, make the evidence architecture visibly trustworthy, and use the deployed app as a concrete portfolio proof point for life sciences strategy, commercial analytics, and AI-enabled intelligence workflows.</w:t>
      </w:r>
    </w:p>
    <w:p w14:paraId="281F4C99" w14:textId="77777777" w:rsidR="00324FC1" w:rsidRDefault="00000000">
      <w:r>
        <w:br w:type="page"/>
      </w:r>
    </w:p>
    <w:p w14:paraId="53CA3F9B" w14:textId="77777777" w:rsidR="00324FC1" w:rsidRDefault="00000000">
      <w:pPr>
        <w:pStyle w:val="Heading1"/>
      </w:pPr>
      <w:r>
        <w:lastRenderedPageBreak/>
        <w:t>Appendix A: Source Context and Assumptions</w:t>
      </w:r>
    </w:p>
    <w:p w14:paraId="10F70CBB" w14:textId="77777777" w:rsidR="00324FC1" w:rsidRDefault="00000000">
      <w:r>
        <w:t>This proposal is based on the project context supplied by the user, including the prior STRATEGIST market intelligence validation agent, the J&amp;J Commercial Intelligence Platform README, and the agreed Pharmaceutical Strategic Intelligence Tool scope. The proposal assumes that the new project is separate from those tools but should benefit from their demonstrated design patterns and portfolio credibility.</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ook w:val="04A0" w:firstRow="1" w:lastRow="0" w:firstColumn="1" w:lastColumn="0" w:noHBand="0" w:noVBand="1"/>
      </w:tblPr>
      <w:tblGrid>
        <w:gridCol w:w="5032"/>
        <w:gridCol w:w="5032"/>
      </w:tblGrid>
      <w:tr w:rsidR="00324FC1" w14:paraId="4E41F9D0" w14:textId="77777777">
        <w:trPr>
          <w:jc w:val="center"/>
        </w:trPr>
        <w:tc>
          <w:tcPr>
            <w:tcW w:w="5040" w:type="dxa"/>
            <w:shd w:val="clear" w:color="auto" w:fill="0B1F3A"/>
          </w:tcPr>
          <w:p w14:paraId="70B0193A" w14:textId="77777777" w:rsidR="00324FC1" w:rsidRDefault="00000000">
            <w:pPr>
              <w:spacing w:after="40"/>
            </w:pPr>
            <w:r>
              <w:rPr>
                <w:b/>
                <w:color w:val="FFFFFF"/>
                <w:sz w:val="16"/>
              </w:rPr>
              <w:t>Reference Project / Input</w:t>
            </w:r>
          </w:p>
        </w:tc>
        <w:tc>
          <w:tcPr>
            <w:tcW w:w="5040" w:type="dxa"/>
            <w:shd w:val="clear" w:color="auto" w:fill="0B1F3A"/>
          </w:tcPr>
          <w:p w14:paraId="2EC4C839" w14:textId="77777777" w:rsidR="00324FC1" w:rsidRDefault="00000000">
            <w:pPr>
              <w:spacing w:after="40"/>
            </w:pPr>
            <w:r>
              <w:rPr>
                <w:b/>
                <w:color w:val="FFFFFF"/>
                <w:sz w:val="16"/>
              </w:rPr>
              <w:t>Relevant Takeaway for This Proposal</w:t>
            </w:r>
          </w:p>
        </w:tc>
      </w:tr>
      <w:tr w:rsidR="00324FC1" w14:paraId="262287A5" w14:textId="77777777">
        <w:trPr>
          <w:jc w:val="center"/>
        </w:trPr>
        <w:tc>
          <w:tcPr>
            <w:tcW w:w="5040" w:type="dxa"/>
          </w:tcPr>
          <w:p w14:paraId="541988DD" w14:textId="77777777" w:rsidR="00324FC1" w:rsidRDefault="00000000">
            <w:pPr>
              <w:spacing w:after="40"/>
            </w:pPr>
            <w:r>
              <w:rPr>
                <w:b/>
                <w:color w:val="0B1F3A"/>
                <w:sz w:val="16"/>
              </w:rPr>
              <w:t>STRATEGIST</w:t>
            </w:r>
          </w:p>
        </w:tc>
        <w:tc>
          <w:tcPr>
            <w:tcW w:w="5040" w:type="dxa"/>
          </w:tcPr>
          <w:p w14:paraId="72A45A21" w14:textId="77777777" w:rsidR="00324FC1" w:rsidRDefault="00000000">
            <w:pPr>
              <w:spacing w:after="40"/>
            </w:pPr>
            <w:r>
              <w:rPr>
                <w:sz w:val="16"/>
              </w:rPr>
              <w:t>Demonstrates prior ability to build validation-heavy intelligence workflows with source validation, confidence scoring, evidence grading, HITL review, adversarial review, and audit-style outputs.</w:t>
            </w:r>
          </w:p>
        </w:tc>
      </w:tr>
      <w:tr w:rsidR="00324FC1" w14:paraId="397D2F16" w14:textId="77777777">
        <w:trPr>
          <w:jc w:val="center"/>
        </w:trPr>
        <w:tc>
          <w:tcPr>
            <w:tcW w:w="5040" w:type="dxa"/>
          </w:tcPr>
          <w:p w14:paraId="15BA8EE6" w14:textId="77777777" w:rsidR="00324FC1" w:rsidRDefault="00000000">
            <w:pPr>
              <w:spacing w:after="40"/>
            </w:pPr>
            <w:r>
              <w:rPr>
                <w:b/>
                <w:color w:val="0B1F3A"/>
                <w:sz w:val="16"/>
              </w:rPr>
              <w:t>J&amp;J Commercial Intelligence Platform</w:t>
            </w:r>
          </w:p>
        </w:tc>
        <w:tc>
          <w:tcPr>
            <w:tcW w:w="5040" w:type="dxa"/>
          </w:tcPr>
          <w:p w14:paraId="3108CBBF" w14:textId="77777777" w:rsidR="00324FC1" w:rsidRDefault="00000000">
            <w:pPr>
              <w:spacing w:after="40"/>
            </w:pPr>
            <w:r>
              <w:rPr>
                <w:sz w:val="16"/>
              </w:rPr>
              <w:t>Demonstrates pharma-specific adaptation, regulatory and market signal collection, executive briefing generation, Comm Ex recommendations, and Streamlit dashboarding.</w:t>
            </w:r>
          </w:p>
        </w:tc>
      </w:tr>
      <w:tr w:rsidR="00324FC1" w14:paraId="46FC6BFF" w14:textId="77777777">
        <w:trPr>
          <w:jc w:val="center"/>
        </w:trPr>
        <w:tc>
          <w:tcPr>
            <w:tcW w:w="5040" w:type="dxa"/>
          </w:tcPr>
          <w:p w14:paraId="12842A86" w14:textId="77777777" w:rsidR="00324FC1" w:rsidRDefault="00000000">
            <w:pPr>
              <w:spacing w:after="40"/>
            </w:pPr>
            <w:r>
              <w:rPr>
                <w:b/>
                <w:color w:val="0B1F3A"/>
                <w:sz w:val="16"/>
              </w:rPr>
              <w:t>New Pharmaceutical Strategic Intelligence Tool</w:t>
            </w:r>
          </w:p>
        </w:tc>
        <w:tc>
          <w:tcPr>
            <w:tcW w:w="5040" w:type="dxa"/>
          </w:tcPr>
          <w:p w14:paraId="73600DC0" w14:textId="77777777" w:rsidR="00324FC1" w:rsidRDefault="00000000">
            <w:pPr>
              <w:spacing w:after="40"/>
            </w:pPr>
            <w:r>
              <w:rPr>
                <w:sz w:val="16"/>
              </w:rPr>
              <w:t>Should be narrower, public-data only, citation-anchored, deployable, and easy for an external reviewer to understand.</w:t>
            </w:r>
          </w:p>
        </w:tc>
      </w:tr>
    </w:tbl>
    <w:p w14:paraId="5CC7E92E" w14:textId="77777777" w:rsidR="00F4177B" w:rsidRDefault="00F4177B"/>
    <w:sectPr w:rsidR="00F4177B" w:rsidSect="00034616">
      <w:footerReference w:type="default" r:id="rId8"/>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3FB4B" w14:textId="77777777" w:rsidR="00F4177B" w:rsidRDefault="00F4177B">
      <w:pPr>
        <w:spacing w:after="0" w:line="240" w:lineRule="auto"/>
      </w:pPr>
      <w:r>
        <w:separator/>
      </w:r>
    </w:p>
  </w:endnote>
  <w:endnote w:type="continuationSeparator" w:id="0">
    <w:p w14:paraId="1C1A5D51" w14:textId="77777777" w:rsidR="00F4177B" w:rsidRDefault="00F41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C6B7" w14:textId="77777777" w:rsidR="00324FC1" w:rsidRDefault="00000000">
    <w:pPr>
      <w:pStyle w:val="Footer"/>
      <w:jc w:val="right"/>
    </w:pPr>
    <w:r>
      <w:rPr>
        <w:color w:val="5F6F80"/>
        <w:sz w:val="16"/>
      </w:rPr>
      <w:t xml:space="preserve">Pharmaceutical Strategic Intelligence Tool Proposal | Confidential working draft | </w:t>
    </w:r>
    <w:r>
      <w:fldChar w:fldCharType="begin"/>
    </w:r>
    <w:r>
      <w:instrText>PAGE</w:instrText>
    </w:r>
    <w:r w:rsidR="00B43023">
      <w:fldChar w:fldCharType="separate"/>
    </w:r>
    <w:r w:rsidR="00B430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B51C0" w14:textId="77777777" w:rsidR="00F4177B" w:rsidRDefault="00F4177B">
      <w:pPr>
        <w:spacing w:after="0" w:line="240" w:lineRule="auto"/>
      </w:pPr>
      <w:r>
        <w:separator/>
      </w:r>
    </w:p>
  </w:footnote>
  <w:footnote w:type="continuationSeparator" w:id="0">
    <w:p w14:paraId="5B06E683" w14:textId="77777777" w:rsidR="00F4177B" w:rsidRDefault="00F417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96056">
    <w:abstractNumId w:val="8"/>
  </w:num>
  <w:num w:numId="2" w16cid:durableId="116489589">
    <w:abstractNumId w:val="6"/>
  </w:num>
  <w:num w:numId="3" w16cid:durableId="1826968171">
    <w:abstractNumId w:val="5"/>
  </w:num>
  <w:num w:numId="4" w16cid:durableId="1297956581">
    <w:abstractNumId w:val="4"/>
  </w:num>
  <w:num w:numId="5" w16cid:durableId="1640111936">
    <w:abstractNumId w:val="7"/>
  </w:num>
  <w:num w:numId="6" w16cid:durableId="1566186448">
    <w:abstractNumId w:val="3"/>
  </w:num>
  <w:num w:numId="7" w16cid:durableId="1780639568">
    <w:abstractNumId w:val="2"/>
  </w:num>
  <w:num w:numId="8" w16cid:durableId="512498393">
    <w:abstractNumId w:val="1"/>
  </w:num>
  <w:num w:numId="9" w16cid:durableId="40727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9B"/>
    <w:rsid w:val="0015074B"/>
    <w:rsid w:val="0029639D"/>
    <w:rsid w:val="00324FC1"/>
    <w:rsid w:val="00326F90"/>
    <w:rsid w:val="00AA1D8D"/>
    <w:rsid w:val="00B43023"/>
    <w:rsid w:val="00B47730"/>
    <w:rsid w:val="00CB0664"/>
    <w:rsid w:val="00F417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B9A29"/>
  <w14:defaultImageDpi w14:val="300"/>
  <w15:docId w15:val="{4265044C-CE34-4F93-AF49-DDE7E915B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447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B1F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Callout">
    <w:name w:val="Executive Callout"/>
    <w:pPr>
      <w:spacing w:before="160" w:after="160"/>
      <w:ind w:left="216" w:right="216"/>
    </w:pPr>
    <w:rPr>
      <w:rFonts w:ascii="Aptos" w:eastAsia="Aptos" w:hAnsi="Aptos"/>
      <w:i/>
      <w:color w:val="0B1F3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2254</Words>
  <Characters>12854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 b</cp:lastModifiedBy>
  <cp:revision>2</cp:revision>
  <dcterms:created xsi:type="dcterms:W3CDTF">2026-05-01T03:33:00Z</dcterms:created>
  <dcterms:modified xsi:type="dcterms:W3CDTF">2026-05-01T03:33:00Z</dcterms:modified>
  <cp:category/>
</cp:coreProperties>
</file>