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left"/>
      </w:pPr>
      <w:r>
        <w:rPr>
          <w:rFonts w:ascii="Arial" w:cs="Arial" w:eastAsia="Arial" w:hAnsi="Arial"/>
          <w:caps/>
          <w:color w:val="595959"/>
          <w:sz w:val="20"/>
          <w:szCs w:val="20"/>
        </w:rPr>
        <w:t xml:space="preserve">PROJECT PROPOSAL</w:t>
      </w:r>
    </w:p>
    <w:p>
      <w:pPr>
        <w:spacing w:after="200" w:before="0"/>
        <w:jc w:val="left"/>
      </w:pPr>
      <w:r>
        <w:rPr>
          <w:rFonts w:ascii="Arial" w:cs="Arial" w:eastAsia="Arial" w:hAnsi="Arial"/>
          <w:b/>
          <w:bCs/>
          <w:color w:val="1F3864"/>
          <w:sz w:val="52"/>
          <w:szCs w:val="52"/>
        </w:rPr>
        <w:t xml:space="preserve">Pharmaceutical Strategic Intelligence Tool</w:t>
      </w:r>
    </w:p>
    <w:p>
      <w:pPr>
        <w:pBdr>
          <w:bottom w:val="single" w:color="2E74B5" w:sz="12" w:space="1"/>
        </w:pBdr>
        <w:spacing w:after="120" w:before="120"/>
      </w:pPr>
      <w:r>
        <w:t xml:space="preserve"/>
      </w:r>
    </w:p>
    <w:p>
      <w:pPr>
        <w:spacing w:after="0" w:before="160"/>
      </w:pPr>
      <w:r>
        <w:t xml:space="preserve"/>
      </w:r>
    </w:p>
    <w:p>
      <w:pPr>
        <w:spacing w:after="80" w:before="0"/>
      </w:pPr>
      <w:r>
        <w:rPr>
          <w:rFonts w:ascii="Arial" w:cs="Arial" w:eastAsia="Arial" w:hAnsi="Arial"/>
          <w:i/>
          <w:iCs/>
          <w:color w:val="595959"/>
          <w:sz w:val="26"/>
          <w:szCs w:val="26"/>
        </w:rPr>
        <w:t xml:space="preserve">A public-data, citation-anchored therapeutic area intelligence dashboard</w:t>
      </w:r>
    </w:p>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MVP Focus</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Antibody-Drug Conjugates (ADCs) in Oncology</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Platform</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Python  ·  Streamlit  ·  SQLite</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Data Backbone</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ClinicalTrials.gov API</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Regulatory Overlay</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FDA  ·  EMA public releases</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News Overlay</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Endpoints News  ·  STAT News (RSS, public)</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Deployment</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Streamlit Cloud  ·  GitHub</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Design Principle</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No source URL. No claim.</w:t>
            </w:r>
          </w:p>
        </w:tc>
      </w:tr>
    </w:tbl>
    <w:p>
      <w:pPr>
        <w:spacing w:after="0" w:before="600"/>
      </w:pPr>
      <w:r>
        <w:t xml:space="preserve"/>
      </w:r>
    </w:p>
    <w:p>
      <w:pPr>
        <w:pBdr>
          <w:bottom w:val="single" w:color="D9D9D9" w:sz="4" w:space="1"/>
        </w:pBdr>
        <w:spacing w:after="120" w:before="120"/>
      </w:pPr>
      <w:r>
        <w:t xml:space="preserve"/>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Prepared by</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Hans</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Version</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Strategic Proposal — Revised Working Draft</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tcPr>
          <w:p>
            <w:r>
              <w:rPr>
                <w:rFonts w:ascii="Arial" w:cs="Arial" w:eastAsia="Arial" w:hAnsi="Arial"/>
                <w:b/>
                <w:bCs/>
                <w:color w:val="595959"/>
                <w:sz w:val="20"/>
                <w:szCs w:val="20"/>
              </w:rPr>
              <w:t xml:space="preserve">Date</w:t>
            </w:r>
          </w:p>
        </w:tc>
        <w:tc>
          <w:tcPr>
            <w:tcW w:type="dxa" w:w="7280"/>
            <w:tcBorders>
              <w:top w:val="none" w:color="FFFFFF" w:sz="0"/>
              <w:left w:val="none" w:color="FFFFFF" w:sz="0"/>
              <w:bottom w:val="none" w:color="FFFFFF" w:sz="0"/>
              <w:right w:val="none" w:color="FFFFFF" w:sz="0"/>
            </w:tcBorders>
            <w:shd w:fill="FFFFFF" w:val="clear"/>
            <w:tcMar>
              <w:top w:type="dxa" w:w="60"/>
              <w:left w:type="dxa" w:w="80"/>
              <w:bottom w:type="dxa" w:w="60"/>
              <w:right w:type="dxa" w:w="0"/>
            </w:tcMar>
          </w:tcPr>
          <w:p>
            <w:r>
              <w:rPr>
                <w:rFonts w:ascii="Arial" w:cs="Arial" w:eastAsia="Arial" w:hAnsi="Arial"/>
                <w:color w:val="000000"/>
                <w:sz w:val="20"/>
                <w:szCs w:val="20"/>
              </w:rPr>
              <w:t xml:space="preserve">April 30, 2026</w:t>
            </w:r>
          </w:p>
        </w:tc>
      </w:tr>
    </w:tbl>
    <w:p>
      <w:r>
        <w:br w:type="page"/>
      </w:r>
    </w:p>
    <w:p>
      <w:pPr>
        <w:spacing w:after="200" w:before="0"/>
      </w:pPr>
      <w:r>
        <w:rPr>
          <w:rFonts w:ascii="Arial" w:cs="Arial" w:eastAsia="Arial" w:hAnsi="Arial"/>
          <w:b/>
          <w:bCs/>
          <w:color w:val="1F3864"/>
          <w:sz w:val="32"/>
          <w:szCs w:val="32"/>
        </w:rPr>
        <w:t xml:space="preserve">Proposal Diagnostic: Top 5 Issues</w:t>
      </w:r>
    </w:p>
    <w:p>
      <w:pPr>
        <w:pBdr>
          <w:bottom w:val="single" w:color="2E74B5" w:sz="8" w:space="1"/>
        </w:pBdr>
        <w:spacing w:after="120" w:before="120"/>
      </w:pPr>
      <w:r>
        <w:t xml:space="preserve"/>
      </w:r>
    </w:p>
    <w:p>
      <w:pPr>
        <w:spacing w:after="0" w:before="80"/>
      </w:pPr>
      <w:r>
        <w:t xml:space="preserve"/>
      </w:r>
    </w:p>
    <w:p>
      <w:pPr>
        <w:spacing w:after="60" w:before="120"/>
      </w:pPr>
      <w:r>
        <w:rPr>
          <w:rFonts w:ascii="Arial" w:cs="Arial" w:eastAsia="Arial" w:hAnsi="Arial"/>
          <w:b/>
          <w:bCs/>
          <w:color w:val="1F3864"/>
          <w:sz w:val="22"/>
          <w:szCs w:val="22"/>
        </w:rPr>
        <w:t xml:space="preserve">Issue 1 — The decision problem is never stated.</w:t>
      </w:r>
    </w:p>
    <w:p>
      <w:pPr>
        <w:spacing w:after="120" w:before="80"/>
      </w:pPr>
      <w:r>
        <w:rPr>
          <w:rFonts w:ascii="Arial" w:cs="Arial" w:eastAsia="Arial" w:hAnsi="Arial"/>
          <w:color w:val="000000"/>
          <w:sz w:val="22"/>
          <w:szCs w:val="22"/>
        </w:rPr>
        <w:t xml:space="preserve">The proposal describes what the tool does but never precisely answers: what decision does this help someone make, and how does the current state of the world make that decision harder? A consulting-grade proposal opens with a crisp problem statement — a specific, felt pain that the proposed solution addresses. The current document skips directly to the solution without establishing why those capabilities matter to a real person doing real work.</w:t>
      </w:r>
    </w:p>
    <w:p>
      <w:pPr>
        <w:spacing w:after="60" w:before="120"/>
      </w:pPr>
      <w:r>
        <w:rPr>
          <w:rFonts w:ascii="Arial" w:cs="Arial" w:eastAsia="Arial" w:hAnsi="Arial"/>
          <w:b/>
          <w:bCs/>
          <w:color w:val="1F3864"/>
          <w:sz w:val="22"/>
          <w:szCs w:val="22"/>
        </w:rPr>
        <w:t xml:space="preserve">Issue 2 — Section 3 reads like a self-assessment, not a strategy document.</w:t>
      </w:r>
    </w:p>
    <w:p>
      <w:pPr>
        <w:spacing w:after="120" w:before="80"/>
      </w:pPr>
      <w:r>
        <w:rPr>
          <w:rFonts w:ascii="Arial" w:cs="Arial" w:eastAsia="Arial" w:hAnsi="Arial"/>
          <w:color w:val="000000"/>
          <w:sz w:val="22"/>
          <w:szCs w:val="22"/>
        </w:rPr>
        <w:t xml:space="preserve">The table headed "Capability Demonstrated / What the MVP Must Prove" breaks the executive framing and makes the proposal read like a recruiting checklist. A strategy reviewer does not care what signals you are sending to a hiring manager — they care what value the tool delivers and whether it is trustworthy. This section needs to be reframed entirely around user experience and external quality standards.</w:t>
      </w:r>
    </w:p>
    <w:p>
      <w:pPr>
        <w:spacing w:after="60" w:before="120"/>
      </w:pPr>
      <w:r>
        <w:rPr>
          <w:rFonts w:ascii="Arial" w:cs="Arial" w:eastAsia="Arial" w:hAnsi="Arial"/>
          <w:b/>
          <w:bCs/>
          <w:color w:val="1F3864"/>
          <w:sz w:val="22"/>
          <w:szCs w:val="22"/>
        </w:rPr>
        <w:t xml:space="preserve">Issue 3 — Reliability is buried as a compliance checklist, not elevated as a product thesis.</w:t>
      </w:r>
    </w:p>
    <w:p>
      <w:pPr>
        <w:spacing w:after="120" w:before="80"/>
      </w:pPr>
      <w:r>
        <w:rPr>
          <w:rFonts w:ascii="Arial" w:cs="Arial" w:eastAsia="Arial" w:hAnsi="Arial"/>
          <w:color w:val="000000"/>
          <w:sz w:val="22"/>
          <w:szCs w:val="22"/>
        </w:rPr>
        <w:t xml:space="preserve">The proposal's strongest intellectual contribution — citation-enforced claims, schema validation, anti-hallucination architecture — is presented as a dry table of controls. In an environment where AI-generated pharmaceutical summaries routinely blend real data with hallucinated citations, a tool that architecturally refuses to render unsupported claims is a genuine product differentiator. It should be the headline, not a footnote.</w:t>
      </w:r>
    </w:p>
    <w:p>
      <w:pPr>
        <w:spacing w:after="60" w:before="120"/>
      </w:pPr>
      <w:r>
        <w:rPr>
          <w:rFonts w:ascii="Arial" w:cs="Arial" w:eastAsia="Arial" w:hAnsi="Arial"/>
          <w:b/>
          <w:bCs/>
          <w:color w:val="1F3864"/>
          <w:sz w:val="22"/>
          <w:szCs w:val="22"/>
        </w:rPr>
        <w:t xml:space="preserve">Issue 4 — The AI Tooling section has no place in a proposal document.</w:t>
      </w:r>
    </w:p>
    <w:p>
      <w:pPr>
        <w:spacing w:after="120" w:before="80"/>
      </w:pPr>
      <w:r>
        <w:rPr>
          <w:rFonts w:ascii="Arial" w:cs="Arial" w:eastAsia="Arial" w:hAnsi="Arial"/>
          <w:color w:val="000000"/>
          <w:sz w:val="22"/>
          <w:szCs w:val="22"/>
        </w:rPr>
        <w:t xml:space="preserve">Recommending which Claude model tier to use for each coding task is an internal planning note. Its presence in a proposal document undermines the executive tone established elsewhere and suggests a confusion between a proposal artifact and a development diary. It belongs in a CLAUDE.md or project wiki — not here.</w:t>
      </w:r>
    </w:p>
    <w:p>
      <w:pPr>
        <w:spacing w:after="60" w:before="120"/>
      </w:pPr>
      <w:r>
        <w:rPr>
          <w:rFonts w:ascii="Arial" w:cs="Arial" w:eastAsia="Arial" w:hAnsi="Arial"/>
          <w:b/>
          <w:bCs/>
          <w:color w:val="1F3864"/>
          <w:sz w:val="22"/>
          <w:szCs w:val="22"/>
        </w:rPr>
        <w:t xml:space="preserve">Issue 5 — The ADC focus is never strategically defended.</w:t>
      </w:r>
    </w:p>
    <w:p>
      <w:pPr>
        <w:spacing w:after="120" w:before="80"/>
      </w:pPr>
      <w:r>
        <w:rPr>
          <w:rFonts w:ascii="Arial" w:cs="Arial" w:eastAsia="Arial" w:hAnsi="Arial"/>
          <w:color w:val="000000"/>
          <w:sz w:val="22"/>
          <w:szCs w:val="22"/>
        </w:rPr>
        <w:t xml:space="preserve">The proposal states ADCs in oncology as the MVP therapeutic area but never explains why. For a portfolio artifact, this matters: the choice should be defended on strategic grounds — fastest-growing asset class in oncology, extreme sponsor crowding, high catalyst density, active regulatory activity, and an acute differentiation problem. An unjustified MVP focus reads as arbitrary. One sharp paragraph would significantly strengthen the proposal's credibility.</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1.  Executive Summary</w:t>
      </w:r>
    </w:p>
    <w:p>
      <w:pPr>
        <w:spacing w:after="120" w:before="80"/>
      </w:pPr>
      <w:r>
        <w:rPr>
          <w:rFonts w:ascii="Arial" w:cs="Arial" w:eastAsia="Arial" w:hAnsi="Arial"/>
          <w:color w:val="000000"/>
          <w:sz w:val="22"/>
          <w:szCs w:val="22"/>
        </w:rPr>
        <w:t xml:space="preserve">The Pharmaceutical Strategic Intelligence Tool is a single-page Streamlit application that converts verified public data into a consulting-grade therapeutic area snapshot. The MVP focuses on antibody-drug conjugates (ADCs) in oncology — one of the most active, competitive, and analytically demanding segments in modern oncology — and produces four strategic views: pipeline density, pipeline velocity, differentiation signals, and a catalyst calendar.</w:t>
      </w:r>
    </w:p>
    <w:p>
      <w:pPr>
        <w:spacing w:after="120" w:before="80"/>
      </w:pPr>
      <w:r>
        <w:rPr>
          <w:rFonts w:ascii="Arial" w:cs="Arial" w:eastAsia="Arial" w:hAnsi="Arial"/>
          <w:color w:val="000000"/>
          <w:sz w:val="22"/>
          <w:szCs w:val="22"/>
        </w:rPr>
        <w:t xml:space="preserve">The tool is deliberately narrow. It does not attempt to replicate an enterprise market intelligence platform. It does not model revenue, predict clinical success, or source proprietary data. What it does is harder than it appears: it turns fragmented public records into a structured, source-linked, strategically interpretable view of a competitive landscape, and it does so with an architectural guarantee that every claim displayed in the interface can be traced to a clickable public source.</w:t>
      </w:r>
    </w:p>
    <w:p>
      <w:pPr>
        <w:spacing w:after="120" w:before="80"/>
      </w:pPr>
      <w:r>
        <w:rPr>
          <w:rFonts w:ascii="Arial" w:cs="Arial" w:eastAsia="Arial" w:hAnsi="Arial"/>
          <w:color w:val="000000"/>
          <w:sz w:val="22"/>
          <w:szCs w:val="22"/>
        </w:rPr>
        <w:t xml:space="preserve">The project's defining design decision is that </w:t>
      </w:r>
      <w:r>
        <w:rPr>
          <w:rFonts w:ascii="Arial" w:cs="Arial" w:eastAsia="Arial" w:hAnsi="Arial"/>
          <w:b/>
          <w:bCs/>
          <w:color w:val="000000"/>
          <w:sz w:val="22"/>
          <w:szCs w:val="22"/>
        </w:rPr>
        <w:t xml:space="preserve">reliability is not a feature — it is the product.</w:t>
      </w:r>
      <w:r>
        <w:rPr>
          <w:rFonts w:ascii="Arial" w:cs="Arial" w:eastAsia="Arial" w:hAnsi="Arial"/>
          <w:color w:val="000000"/>
          <w:sz w:val="22"/>
          <w:szCs w:val="22"/>
        </w:rPr>
        <w:t xml:space="preserve"> In a field where AI-generated pharmaceutical summaries routinely blend real data with hallucinated citations, a tool that architecturally refuses to render unsupported claims represents a meaningful and defensible product position.</w:t>
      </w:r>
    </w:p>
    <w:p>
      <w:pPr>
        <w:spacing w:after="120" w:before="80"/>
      </w:pPr>
      <w:r>
        <w:rPr>
          <w:rFonts w:ascii="Arial" w:cs="Arial" w:eastAsia="Arial" w:hAnsi="Arial"/>
          <w:color w:val="000000"/>
          <w:sz w:val="22"/>
          <w:szCs w:val="22"/>
        </w:rPr>
        <w:t xml:space="preserve">The MVP is scoped for a solo developer and a two-to-three-week build. The output is a deployed, publicly accessible Streamlit application backed by a clean GitHub repository — a credible, externally shareable demonstration of life sciences strategy judgment, public data engineering, and reliability-first product design.</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2.  Strategic Rationale</w:t>
      </w:r>
    </w:p>
    <w:p>
      <w:pPr>
        <w:spacing w:after="120" w:before="80"/>
      </w:pPr>
      <w:r>
        <w:rPr>
          <w:rFonts w:ascii="Arial" w:cs="Arial" w:eastAsia="Arial" w:hAnsi="Arial"/>
          <w:color w:val="000000"/>
          <w:sz w:val="22"/>
          <w:szCs w:val="22"/>
        </w:rPr>
        <w:t xml:space="preserve">Strategy teams in pharmaceutical and biotechnology companies operate in environments where the most important competitive signals are technically public but practically inaccessible. Trial registries, regulatory agency announcements, company pipeline disclosures, and industry news exist in separate systems, update asynchronously, use inconsistent terminology, and require domain expertise to interpret. Building a coherent therapeutic area view from these sources manually is slow, inconsistent, and difficult to audit.</w:t>
      </w:r>
    </w:p>
    <w:p>
      <w:pPr>
        <w:spacing w:after="120" w:before="80"/>
      </w:pPr>
      <w:r>
        <w:rPr>
          <w:rFonts w:ascii="Arial" w:cs="Arial" w:eastAsia="Arial" w:hAnsi="Arial"/>
          <w:color w:val="000000"/>
          <w:sz w:val="22"/>
          <w:szCs w:val="22"/>
        </w:rPr>
        <w:t xml:space="preserve">The tools available to analysts sit at two unsatisfying extremes. Raw clinical trial registries are comprehensive but require significant effort to query, normalize, and interpret. AI-generated summaries are fast but lack traceability — a reader cannot verify whether a claim reflects actual trial records or plausible-sounding synthesis. Neither extreme supports the evidence-backed, reproducible strategic analysis that commercial strategy, business development, or market access work demands.</w:t>
      </w:r>
    </w:p>
    <w:p>
      <w:pPr>
        <w:spacing w:after="120" w:before="80"/>
      </w:pPr>
      <w:r>
        <w:rPr>
          <w:rFonts w:ascii="Arial" w:cs="Arial" w:eastAsia="Arial" w:hAnsi="Arial"/>
          <w:color w:val="000000"/>
          <w:sz w:val="22"/>
          <w:szCs w:val="22"/>
        </w:rPr>
        <w:t xml:space="preserve">This project occupies the middle ground: structured analytics applied to public data, with source-level traceability enforced at the application layer. The result is not a replacement for a research subscription or a consulting engagement. It is a reliable first-pass view — a starting point that an analyst, a job candidate, an independent advisor, or a small team can use to orient quickly to a competitive landscape without sacrificing evidentiary discipline.</w:t>
      </w:r>
    </w:p>
    <w:p>
      <w:pPr>
        <w:spacing w:after="120" w:before="80"/>
      </w:pPr>
      <w:r>
        <w:rPr>
          <w:rFonts w:ascii="Arial" w:cs="Arial" w:eastAsia="Arial" w:hAnsi="Arial"/>
          <w:color w:val="000000"/>
          <w:sz w:val="22"/>
          <w:szCs w:val="22"/>
        </w:rPr>
        <w:t xml:space="preserve">The ADC oncology space is a strategically motivated first use case. ADCs represent one of the highest-growth asset classes in contemporary oncology, with more than 300 active clinical trials as of early 2026, multiple recent FDA approvals, and fierce competition across overlapping targets, indications, and linker-payload configurations. The differentiation problem in ADCs is acute: sponsors are competing on narrow mechanistic and clinical design distinctions that are difficult to interpret from raw registry data but consequential for commercial positioning. This makes ADC/oncology an ideal test case for a tool designed to surface competitive structure from public records.</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440"/>
        <w:gridCol w:w="4340"/>
      </w:tblGrid>
      <w:tr>
        <w:trPr>
          <w:tblHeader/>
        </w:trPr>
        <w:tc>
          <w:tcPr>
            <w:tcW w:type="dxa" w:w="23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Strategic Need</w:t>
            </w:r>
          </w:p>
        </w:tc>
        <w:tc>
          <w:tcPr>
            <w:tcW w:type="dxa" w:w="34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Current Pain Point</w:t>
            </w:r>
          </w:p>
        </w:tc>
        <w:tc>
          <w:tcPr>
            <w:tcW w:type="dxa" w:w="43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Tool Response</w:t>
            </w:r>
          </w:p>
        </w:tc>
      </w:tr>
      <w:tr>
        <w:tc>
          <w:tcPr>
            <w:tcW w:type="dxa" w:w="23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Market crowding</w:t>
            </w:r>
          </w:p>
        </w:tc>
        <w:tc>
          <w:tcPr>
            <w:tcW w:type="dxa" w:w="34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Raw registries are difficult to interpret quickly.</w:t>
            </w:r>
          </w:p>
        </w:tc>
        <w:tc>
          <w:tcPr>
            <w:tcW w:type="dxa" w:w="43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density views by sponsor, phase, indication, and status.</w:t>
            </w:r>
          </w:p>
        </w:tc>
      </w:tr>
      <w:tr>
        <w:tc>
          <w:tcPr>
            <w:tcW w:type="dxa" w:w="23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Momentum tracking</w:t>
            </w:r>
          </w:p>
        </w:tc>
        <w:tc>
          <w:tcPr>
            <w:tcW w:type="dxa" w:w="34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Updates and trial timing are spread across records.</w:t>
            </w:r>
          </w:p>
        </w:tc>
        <w:tc>
          <w:tcPr>
            <w:tcW w:type="dxa" w:w="43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Velocity metrics and recent trial activity views.</w:t>
            </w:r>
          </w:p>
        </w:tc>
      </w:tr>
      <w:tr>
        <w:tc>
          <w:tcPr>
            <w:tcW w:type="dxa" w:w="23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Differentiation</w:t>
            </w:r>
          </w:p>
        </w:tc>
        <w:tc>
          <w:tcPr>
            <w:tcW w:type="dxa" w:w="34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Assets are hard to compare across public descriptions.</w:t>
            </w:r>
          </w:p>
        </w:tc>
        <w:tc>
          <w:tcPr>
            <w:tcW w:type="dxa" w:w="43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Structured asset and trial tables with design and mechanism fields.</w:t>
            </w:r>
          </w:p>
        </w:tc>
      </w:tr>
      <w:tr>
        <w:tc>
          <w:tcPr>
            <w:tcW w:type="dxa" w:w="23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Catalyst awareness</w:t>
            </w:r>
          </w:p>
        </w:tc>
        <w:tc>
          <w:tcPr>
            <w:tcW w:type="dxa" w:w="34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Readouts and milestones require manual tracking.</w:t>
            </w:r>
          </w:p>
        </w:tc>
        <w:tc>
          <w:tcPr>
            <w:tcW w:type="dxa" w:w="43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Forward-looking catalyst calendar linked to source records.</w:t>
            </w:r>
          </w:p>
        </w:tc>
      </w:tr>
      <w:tr>
        <w:tc>
          <w:tcPr>
            <w:tcW w:type="dxa" w:w="23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Trust</w:t>
            </w:r>
          </w:p>
        </w:tc>
        <w:tc>
          <w:tcPr>
            <w:tcW w:type="dxa" w:w="34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AI summaries may blur evidence and inference.</w:t>
            </w:r>
          </w:p>
        </w:tc>
        <w:tc>
          <w:tcPr>
            <w:tcW w:type="dxa" w:w="43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Claim-level URL requirement and evidence table.</w:t>
            </w:r>
          </w:p>
        </w:tc>
      </w:tr>
    </w:tbl>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3.  Decision Problem</w:t>
      </w:r>
    </w:p>
    <w:p>
      <w:pPr>
        <w:spacing w:after="120" w:before="80"/>
      </w:pPr>
      <w:r>
        <w:rPr>
          <w:rFonts w:ascii="Arial" w:cs="Arial" w:eastAsia="Arial" w:hAnsi="Arial"/>
          <w:color w:val="000000"/>
          <w:sz w:val="22"/>
          <w:szCs w:val="22"/>
        </w:rPr>
        <w:t xml:space="preserve">The tool is designed to address a specific, felt problem faced by anyone who needs to orient to a competitive pharmaceutical landscape quickly and reliably.</w:t>
      </w:r>
    </w:p>
    <w:p>
      <w:pPr>
        <w:spacing w:after="120" w:before="80"/>
      </w:pPr>
      <w:r>
        <w:rPr>
          <w:rFonts w:ascii="Arial" w:cs="Arial" w:eastAsia="Arial" w:hAnsi="Arial"/>
          <w:b/>
          <w:bCs/>
          <w:color w:val="000000"/>
          <w:sz w:val="22"/>
          <w:szCs w:val="22"/>
        </w:rPr>
        <w:t xml:space="preserve">The problem: </w:t>
      </w:r>
      <w:r>
        <w:rPr>
          <w:rFonts w:ascii="Arial" w:cs="Arial" w:eastAsia="Arial" w:hAnsi="Arial"/>
          <w:color w:val="000000"/>
          <w:sz w:val="22"/>
          <w:szCs w:val="22"/>
        </w:rPr>
        <w:t xml:space="preserve">When a strategy professional, business development analyst, or commercial lead needs to understand the competitive state of a therapeutic area — how many programs are active, where momentum is building, how assets differ from one another, and what milestones are approaching — the current process requires manual aggregation across multiple public sources, significant domain expertise to interpret, and produces outputs that are difficult to share, reproduce, or audit. The alternative — asking a general-purpose AI tool for a summary — produces fluent text that may or may not reflect actual trial records.</w:t>
      </w:r>
    </w:p>
    <w:p>
      <w:pPr>
        <w:spacing w:after="120" w:before="80"/>
      </w:pPr>
      <w:r>
        <w:rPr>
          <w:rFonts w:ascii="Arial" w:cs="Arial" w:eastAsia="Arial" w:hAnsi="Arial"/>
          <w:b/>
          <w:bCs/>
          <w:i/>
          <w:iCs/>
          <w:color w:val="000000"/>
          <w:sz w:val="22"/>
          <w:szCs w:val="22"/>
        </w:rPr>
        <w:t xml:space="preserve">The decision the tool supports: </w:t>
      </w:r>
      <w:r>
        <w:rPr>
          <w:rFonts w:ascii="Arial" w:cs="Arial" w:eastAsia="Arial" w:hAnsi="Arial"/>
          <w:i/>
          <w:iCs/>
          <w:color w:val="000000"/>
          <w:sz w:val="22"/>
          <w:szCs w:val="22"/>
        </w:rPr>
        <w:t xml:space="preserve">What does the public evidence say about the competitive dynamics of this therapeutic area, and is that evidence strong enough to act on?</w:t>
      </w:r>
    </w:p>
    <w:p>
      <w:pPr>
        <w:spacing w:after="120" w:before="80"/>
      </w:pPr>
      <w:r>
        <w:rPr>
          <w:rFonts w:ascii="Arial" w:cs="Arial" w:eastAsia="Arial" w:hAnsi="Arial"/>
          <w:color w:val="000000"/>
          <w:sz w:val="22"/>
          <w:szCs w:val="22"/>
        </w:rPr>
        <w:t xml:space="preserve">Concretely, the tool is designed to help a user answer four questions from public data, in under five minutes, with every supporting fact linked to a source:</w:t>
      </w:r>
    </w:p>
    <w:p>
      <w:pPr>
        <w:pStyle w:val="ListParagraph"/>
        <w:numPr>
          <w:ilvl w:val="0"/>
          <w:numId w:val="2"/>
        </w:numPr>
        <w:spacing w:after="60" w:before="60"/>
      </w:pPr>
      <w:r>
        <w:rPr>
          <w:rFonts w:ascii="Arial" w:cs="Arial" w:eastAsia="Arial" w:hAnsi="Arial"/>
          <w:color w:val="000000"/>
          <w:sz w:val="22"/>
          <w:szCs w:val="22"/>
        </w:rPr>
        <w:t xml:space="preserve">How crowded is this space, and who are the dominant players?</w:t>
      </w:r>
    </w:p>
    <w:p>
      <w:pPr>
        <w:pStyle w:val="ListParagraph"/>
        <w:numPr>
          <w:ilvl w:val="0"/>
          <w:numId w:val="2"/>
        </w:numPr>
        <w:spacing w:after="60" w:before="60"/>
      </w:pPr>
      <w:r>
        <w:rPr>
          <w:rFonts w:ascii="Arial" w:cs="Arial" w:eastAsia="Arial" w:hAnsi="Arial"/>
          <w:color w:val="000000"/>
          <w:sz w:val="22"/>
          <w:szCs w:val="22"/>
        </w:rPr>
        <w:t xml:space="preserve">Where is momentum building or slowing — which programs are advancing, stalling, or newly active?</w:t>
      </w:r>
    </w:p>
    <w:p>
      <w:pPr>
        <w:pStyle w:val="ListParagraph"/>
        <w:numPr>
          <w:ilvl w:val="0"/>
          <w:numId w:val="2"/>
        </w:numPr>
        <w:spacing w:after="60" w:before="60"/>
      </w:pPr>
      <w:r>
        <w:rPr>
          <w:rFonts w:ascii="Arial" w:cs="Arial" w:eastAsia="Arial" w:hAnsi="Arial"/>
          <w:color w:val="000000"/>
          <w:sz w:val="22"/>
          <w:szCs w:val="22"/>
        </w:rPr>
        <w:t xml:space="preserve">What distinguishes competing assets from one another, based on what sponsors have disclosed publicly?</w:t>
      </w:r>
    </w:p>
    <w:p>
      <w:pPr>
        <w:pStyle w:val="ListParagraph"/>
        <w:numPr>
          <w:ilvl w:val="0"/>
          <w:numId w:val="2"/>
        </w:numPr>
        <w:spacing w:after="60" w:before="60"/>
      </w:pPr>
      <w:r>
        <w:rPr>
          <w:rFonts w:ascii="Arial" w:cs="Arial" w:eastAsia="Arial" w:hAnsi="Arial"/>
          <w:color w:val="000000"/>
          <w:sz w:val="22"/>
          <w:szCs w:val="22"/>
        </w:rPr>
        <w:t xml:space="preserve">What events should I be watching in the next six to twelve months?</w:t>
      </w:r>
    </w:p>
    <w:p>
      <w:pPr>
        <w:spacing w:after="0" w:before="80"/>
      </w:pPr>
      <w:r>
        <w:t xml:space="preserve"/>
      </w:r>
    </w:p>
    <w:p>
      <w:pPr>
        <w:spacing w:after="120" w:before="80"/>
      </w:pPr>
      <w:r>
        <w:rPr>
          <w:rFonts w:ascii="Arial" w:cs="Arial" w:eastAsia="Arial" w:hAnsi="Arial"/>
          <w:color w:val="000000"/>
          <w:sz w:val="22"/>
          <w:szCs w:val="22"/>
        </w:rPr>
        <w:t xml:space="preserve">The tool does not answer questions that require proprietary data: revenue potential, probability of regulatory success, pricing dynamics, or unpublished trial results. Those boundaries are explicit in the interface.</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4.  Proposed Solution</w:t>
      </w:r>
    </w:p>
    <w:p>
      <w:pPr>
        <w:spacing w:after="120" w:before="80"/>
      </w:pPr>
      <w:r>
        <w:rPr>
          <w:rFonts w:ascii="Arial" w:cs="Arial" w:eastAsia="Arial" w:hAnsi="Arial"/>
          <w:b/>
          <w:bCs/>
          <w:color w:val="000000"/>
          <w:sz w:val="22"/>
          <w:szCs w:val="22"/>
        </w:rPr>
        <w:t xml:space="preserve">What the tool is: </w:t>
      </w:r>
      <w:r>
        <w:rPr>
          <w:rFonts w:ascii="Arial" w:cs="Arial" w:eastAsia="Arial" w:hAnsi="Arial"/>
          <w:color w:val="000000"/>
          <w:sz w:val="22"/>
          <w:szCs w:val="22"/>
        </w:rPr>
        <w:t xml:space="preserve">A single-page Streamlit application that ingests, normalizes, and analyzes public pharmaceutical data to produce a structured, source-linked therapeutic area snapshot for ADCs in oncology.</w:t>
      </w:r>
    </w:p>
    <w:p>
      <w:pPr>
        <w:spacing w:after="120" w:before="80"/>
      </w:pPr>
      <w:r>
        <w:rPr>
          <w:rFonts w:ascii="Arial" w:cs="Arial" w:eastAsia="Arial" w:hAnsi="Arial"/>
          <w:b/>
          <w:bCs/>
          <w:color w:val="000000"/>
          <w:sz w:val="22"/>
          <w:szCs w:val="22"/>
        </w:rPr>
        <w:t xml:space="preserve">What the tool does: </w:t>
      </w:r>
      <w:r>
        <w:rPr>
          <w:rFonts w:ascii="Arial" w:cs="Arial" w:eastAsia="Arial" w:hAnsi="Arial"/>
          <w:color w:val="000000"/>
          <w:sz w:val="22"/>
          <w:szCs w:val="22"/>
        </w:rPr>
        <w:t xml:space="preserve">It retrieves clinical trial records from the ClinicalTrials.gov API, normalizes them into a consistent schema, applies analytical transformations to generate pipeline density metrics, velocity signals, differentiation tables, and a catalyst calendar, and renders those outputs in an interactive Streamlit interface. Regulatory and news signals from FDA, EMA, and public RSS feeds are incorporated as overlays where they add interpretable value.</w:t>
      </w:r>
    </w:p>
    <w:p>
      <w:pPr>
        <w:spacing w:after="120" w:before="80"/>
      </w:pPr>
      <w:r>
        <w:rPr>
          <w:rFonts w:ascii="Arial" w:cs="Arial" w:eastAsia="Arial" w:hAnsi="Arial"/>
          <w:b/>
          <w:bCs/>
          <w:color w:val="000000"/>
          <w:sz w:val="22"/>
          <w:szCs w:val="22"/>
        </w:rPr>
        <w:t xml:space="preserve">What the tool explicitly does not do:</w:t>
      </w:r>
    </w:p>
    <w:p>
      <w:pPr>
        <w:pStyle w:val="ListParagraph"/>
        <w:numPr>
          <w:ilvl w:val="0"/>
          <w:numId w:val="2"/>
        </w:numPr>
        <w:spacing w:after="60" w:before="60"/>
      </w:pPr>
      <w:r>
        <w:rPr>
          <w:rFonts w:ascii="Arial" w:cs="Arial" w:eastAsia="Arial" w:hAnsi="Arial"/>
          <w:color w:val="000000"/>
          <w:sz w:val="22"/>
          <w:szCs w:val="22"/>
        </w:rPr>
        <w:t xml:space="preserve">Generate claims that cannot be traced to a specific public source.</w:t>
      </w:r>
    </w:p>
    <w:p>
      <w:pPr>
        <w:pStyle w:val="ListParagraph"/>
        <w:numPr>
          <w:ilvl w:val="0"/>
          <w:numId w:val="2"/>
        </w:numPr>
        <w:spacing w:after="60" w:before="60"/>
      </w:pPr>
      <w:r>
        <w:rPr>
          <w:rFonts w:ascii="Arial" w:cs="Arial" w:eastAsia="Arial" w:hAnsi="Arial"/>
          <w:color w:val="000000"/>
          <w:sz w:val="22"/>
          <w:szCs w:val="22"/>
        </w:rPr>
        <w:t xml:space="preserve">Model revenue, commercial potential, or investment attractiveness.</w:t>
      </w:r>
    </w:p>
    <w:p>
      <w:pPr>
        <w:pStyle w:val="ListParagraph"/>
        <w:numPr>
          <w:ilvl w:val="0"/>
          <w:numId w:val="2"/>
        </w:numPr>
        <w:spacing w:after="60" w:before="60"/>
      </w:pPr>
      <w:r>
        <w:rPr>
          <w:rFonts w:ascii="Arial" w:cs="Arial" w:eastAsia="Arial" w:hAnsi="Arial"/>
          <w:color w:val="000000"/>
          <w:sz w:val="22"/>
          <w:szCs w:val="22"/>
        </w:rPr>
        <w:t xml:space="preserve">Predict clinical or regulatory outcomes.</w:t>
      </w:r>
    </w:p>
    <w:p>
      <w:pPr>
        <w:pStyle w:val="ListParagraph"/>
        <w:numPr>
          <w:ilvl w:val="0"/>
          <w:numId w:val="2"/>
        </w:numPr>
        <w:spacing w:after="60" w:before="60"/>
      </w:pPr>
      <w:r>
        <w:rPr>
          <w:rFonts w:ascii="Arial" w:cs="Arial" w:eastAsia="Arial" w:hAnsi="Arial"/>
          <w:color w:val="000000"/>
          <w:sz w:val="22"/>
          <w:szCs w:val="22"/>
        </w:rPr>
        <w:t xml:space="preserve">Access paywalled, proprietary, or non-public data.</w:t>
      </w:r>
    </w:p>
    <w:p>
      <w:pPr>
        <w:pStyle w:val="ListParagraph"/>
        <w:numPr>
          <w:ilvl w:val="0"/>
          <w:numId w:val="2"/>
        </w:numPr>
        <w:spacing w:after="60" w:before="60"/>
      </w:pPr>
      <w:r>
        <w:rPr>
          <w:rFonts w:ascii="Arial" w:cs="Arial" w:eastAsia="Arial" w:hAnsi="Arial"/>
          <w:color w:val="000000"/>
          <w:sz w:val="22"/>
          <w:szCs w:val="22"/>
        </w:rPr>
        <w:t xml:space="preserve">Present AI-generated text as factual unless it is a direct summary of retrieved, validated records.</w:t>
      </w:r>
    </w:p>
    <w:p>
      <w:pPr>
        <w:spacing w:after="0" w:before="80"/>
      </w:pPr>
      <w:r>
        <w:t xml:space="preserve"/>
      </w:r>
    </w:p>
    <w:p>
      <w:pPr>
        <w:spacing w:after="120" w:before="80"/>
      </w:pPr>
      <w:r>
        <w:rPr>
          <w:rFonts w:ascii="Arial" w:cs="Arial" w:eastAsia="Arial" w:hAnsi="Arial"/>
          <w:b/>
          <w:bCs/>
          <w:color w:val="000000"/>
          <w:sz w:val="22"/>
          <w:szCs w:val="22"/>
        </w:rPr>
        <w:t xml:space="preserve">The reliability thesis: </w:t>
      </w:r>
      <w:r>
        <w:rPr>
          <w:rFonts w:ascii="Arial" w:cs="Arial" w:eastAsia="Arial" w:hAnsi="Arial"/>
          <w:color w:val="000000"/>
          <w:sz w:val="22"/>
          <w:szCs w:val="22"/>
        </w:rPr>
        <w:t xml:space="preserve">Every claim rendered in the user interface must carry a valid, clickable source URL. Claims that fail schema validation — because they lack a source reference, because their source is not on the approved whitelist, or because the underlying data cannot be retrieved — are blocked from rendering. The application is designed to be comfortable showing incomplete information rather than filling gaps with unsupported inference. This is a deliberate product decision, not a limitation.</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5.  MVP Scope</w:t>
      </w:r>
    </w:p>
    <w:p>
      <w:pPr>
        <w:spacing w:after="120" w:before="80"/>
      </w:pPr>
      <w:r>
        <w:rPr>
          <w:rFonts w:ascii="Arial" w:cs="Arial" w:eastAsia="Arial" w:hAnsi="Arial"/>
          <w:color w:val="000000"/>
          <w:sz w:val="22"/>
          <w:szCs w:val="22"/>
        </w:rPr>
        <w:t xml:space="preserve">The MVP is intentionally narrow. Its value lies in doing one thing credibly, not many things superficially.</w:t>
      </w:r>
    </w:p>
    <w:p>
      <w:pPr>
        <w:spacing w:after="120" w:before="80"/>
      </w:pPr>
      <w:r>
        <w:rPr>
          <w:rFonts w:ascii="Arial" w:cs="Arial" w:eastAsia="Arial" w:hAnsi="Arial"/>
          <w:b/>
          <w:bCs/>
          <w:color w:val="000000"/>
          <w:sz w:val="22"/>
          <w:szCs w:val="22"/>
        </w:rPr>
        <w:t xml:space="preserve">Therapeutic Area:</w:t>
      </w:r>
      <w:r>
        <w:rPr>
          <w:rFonts w:ascii="Arial" w:cs="Arial" w:eastAsia="Arial" w:hAnsi="Arial"/>
          <w:color w:val="000000"/>
          <w:sz w:val="22"/>
          <w:szCs w:val="22"/>
        </w:rPr>
        <w:t xml:space="preserve"> ADCs in oncology (single TA, single page).</w:t>
      </w:r>
    </w:p>
    <w:p>
      <w:pPr>
        <w:spacing w:after="120" w:before="80"/>
      </w:pPr>
      <w:r>
        <w:rPr>
          <w:rFonts w:ascii="Arial" w:cs="Arial" w:eastAsia="Arial" w:hAnsi="Arial"/>
          <w:b/>
          <w:bCs/>
          <w:color w:val="000000"/>
          <w:sz w:val="22"/>
          <w:szCs w:val="22"/>
        </w:rPr>
        <w:t xml:space="preserve">Build Window:</w:t>
      </w:r>
      <w:r>
        <w:rPr>
          <w:rFonts w:ascii="Arial" w:cs="Arial" w:eastAsia="Arial" w:hAnsi="Arial"/>
          <w:color w:val="000000"/>
          <w:sz w:val="22"/>
          <w:szCs w:val="22"/>
        </w:rPr>
        <w:t xml:space="preserve"> Two to three weeks, solo developer.</w:t>
      </w:r>
    </w:p>
    <w:p>
      <w:pPr>
        <w:spacing w:after="120" w:before="80"/>
      </w:pPr>
      <w:r>
        <w:rPr>
          <w:rFonts w:ascii="Arial" w:cs="Arial" w:eastAsia="Arial" w:hAnsi="Arial"/>
          <w:b/>
          <w:bCs/>
          <w:color w:val="000000"/>
          <w:sz w:val="22"/>
          <w:szCs w:val="22"/>
        </w:rPr>
        <w:t xml:space="preserve">Deployment:</w:t>
      </w:r>
      <w:r>
        <w:rPr>
          <w:rFonts w:ascii="Arial" w:cs="Arial" w:eastAsia="Arial" w:hAnsi="Arial"/>
          <w:color w:val="000000"/>
          <w:sz w:val="22"/>
          <w:szCs w:val="22"/>
        </w:rPr>
        <w:t xml:space="preserve"> Streamlit Cloud (publicly accessible), GitHub (clean repository with documentation).</w:t>
      </w:r>
    </w:p>
    <w:p>
      <w:pPr>
        <w:spacing w:after="0" w:before="120"/>
      </w:pPr>
      <w:r>
        <w:t xml:space="preserve"/>
      </w:r>
    </w:p>
    <w:p>
      <w:pPr>
        <w:pStyle w:val="Heading2"/>
        <w:spacing w:after="100" w:before="280"/>
      </w:pPr>
      <w:r>
        <w:rPr>
          <w:rFonts w:ascii="Arial" w:cs="Arial" w:eastAsia="Arial" w:hAnsi="Arial"/>
          <w:b/>
          <w:bCs/>
          <w:color w:val="2E74B5"/>
          <w:sz w:val="24"/>
          <w:szCs w:val="24"/>
        </w:rPr>
        <w:t xml:space="preserve">Core Dashboard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40"/>
        <w:gridCol w:w="3040"/>
      </w:tblGrid>
      <w:tr>
        <w:trPr>
          <w:tblHeader/>
        </w:trPr>
        <w:tc>
          <w:tcPr>
            <w:tcW w:type="dxa" w:w="20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Module</w:t>
            </w:r>
          </w:p>
        </w:tc>
        <w:tc>
          <w:tcPr>
            <w:tcW w:type="dxa" w:w="30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Strategic Question</w:t>
            </w:r>
          </w:p>
        </w:tc>
        <w:tc>
          <w:tcPr>
            <w:tcW w:type="dxa" w:w="20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Primary Outputs</w:t>
            </w:r>
          </w:p>
        </w:tc>
        <w:tc>
          <w:tcPr>
            <w:tcW w:type="dxa" w:w="30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Reliability Requirement</w:t>
            </w:r>
          </w:p>
        </w:tc>
      </w:tr>
      <w:tr>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Density</w:t>
            </w:r>
          </w:p>
        </w:tc>
        <w:tc>
          <w:tcPr>
            <w:tcW w:type="dxa" w:w="3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How crowded is the TA?</w:t>
            </w:r>
          </w:p>
        </w:tc>
        <w:tc>
          <w:tcPr>
            <w:tcW w:type="dxa" w:w="2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Trial counts, sponsor leaderboard, phase/status/condition cuts.</w:t>
            </w:r>
          </w:p>
        </w:tc>
        <w:tc>
          <w:tcPr>
            <w:tcW w:type="dxa" w:w="3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All metrics derived from structured trial records.</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Velocity</w:t>
            </w:r>
          </w:p>
        </w:tc>
        <w:tc>
          <w:tcPr>
            <w:tcW w:type="dxa" w:w="3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Where is momentum increasing or slowing?</w:t>
            </w:r>
          </w:p>
        </w:tc>
        <w:tc>
          <w:tcPr>
            <w:tcW w:type="dxa" w:w="2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New starts, completions, recruiting activity, recent updates.</w:t>
            </w:r>
          </w:p>
        </w:tc>
        <w:tc>
          <w:tcPr>
            <w:tcW w:type="dxa" w:w="3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Dates traceable to record-level fields.</w:t>
            </w:r>
          </w:p>
        </w:tc>
      </w:tr>
      <w:tr>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Differentiation Signals</w:t>
            </w:r>
          </w:p>
        </w:tc>
        <w:tc>
          <w:tcPr>
            <w:tcW w:type="dxa" w:w="3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How do assets appear to differ?</w:t>
            </w:r>
          </w:p>
        </w:tc>
        <w:tc>
          <w:tcPr>
            <w:tcW w:type="dxa" w:w="2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Mechanism, target, sponsor, design, and patient segment fields.</w:t>
            </w:r>
          </w:p>
        </w:tc>
        <w:tc>
          <w:tcPr>
            <w:tcW w:type="dxa" w:w="3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Only display fields that are present or explicitly mapped.</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Catalyst Calendar</w:t>
            </w:r>
          </w:p>
        </w:tc>
        <w:tc>
          <w:tcPr>
            <w:tcW w:type="dxa" w:w="3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What should an analyst watch next?</w:t>
            </w:r>
          </w:p>
        </w:tc>
        <w:tc>
          <w:tcPr>
            <w:tcW w:type="dxa" w:w="2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Primary completion dates, study completion dates, regulatory and news signals.</w:t>
            </w:r>
          </w:p>
        </w:tc>
        <w:tc>
          <w:tcPr>
            <w:tcW w:type="dxa" w:w="3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Each catalyst links to a source URL.</w:t>
            </w:r>
          </w:p>
        </w:tc>
      </w:tr>
      <w:tr>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Evidence Table</w:t>
            </w:r>
          </w:p>
        </w:tc>
        <w:tc>
          <w:tcPr>
            <w:tcW w:type="dxa" w:w="3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Can every claim be audited?</w:t>
            </w:r>
          </w:p>
        </w:tc>
        <w:tc>
          <w:tcPr>
            <w:tcW w:type="dxa" w:w="2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Claim text, source URL, source name, evidence type, data pull date.</w:t>
            </w:r>
          </w:p>
        </w:tc>
        <w:tc>
          <w:tcPr>
            <w:tcW w:type="dxa" w:w="3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UI refuses claims without source URLs.</w:t>
            </w:r>
          </w:p>
        </w:tc>
      </w:tr>
    </w:tbl>
    <w:p>
      <w:pPr>
        <w:spacing w:after="0" w:before="120"/>
      </w:pPr>
      <w:r>
        <w:t xml:space="preserve"/>
      </w:r>
    </w:p>
    <w:p>
      <w:pPr>
        <w:pStyle w:val="Heading2"/>
        <w:spacing w:after="100" w:before="280"/>
      </w:pPr>
      <w:r>
        <w:rPr>
          <w:rFonts w:ascii="Arial" w:cs="Arial" w:eastAsia="Arial" w:hAnsi="Arial"/>
          <w:b/>
          <w:bCs/>
          <w:color w:val="2E74B5"/>
          <w:sz w:val="24"/>
          <w:szCs w:val="24"/>
        </w:rPr>
        <w:t xml:space="preserve">Scope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In Scope for MVP</w:t>
            </w:r>
          </w:p>
        </w:tc>
        <w:tc>
          <w:tcPr>
            <w:tcW w:type="dxa" w:w="50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Out of Scope</w:t>
            </w:r>
          </w:p>
        </w:tc>
      </w:tr>
      <w:tr>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One therapeutic area: ADCs in oncology</w:t>
            </w:r>
          </w:p>
        </w:tc>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Proprietary or paywalled data</w:t>
            </w:r>
          </w:p>
        </w:tc>
      </w:tr>
      <w:tr>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ClinicalTrials.gov ingestion and normalization</w:t>
            </w:r>
          </w:p>
        </w:tc>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Internal company data</w:t>
            </w:r>
          </w:p>
        </w:tc>
      </w:tr>
      <w:tr>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FDA / EMA overlay where technically straightforward</w:t>
            </w:r>
          </w:p>
        </w:tc>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Revenue forecasting</w:t>
            </w:r>
          </w:p>
        </w:tc>
      </w:tr>
      <w:tr>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Optional Endpoints / STAT News RSS overlay</w:t>
            </w:r>
          </w:p>
        </w:tc>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Investment recommendations</w:t>
            </w:r>
          </w:p>
        </w:tc>
      </w:tr>
      <w:tr>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SQLite or cached local data layer</w:t>
            </w:r>
          </w:p>
        </w:tc>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Clinical success prediction</w:t>
            </w:r>
          </w:p>
        </w:tc>
      </w:tr>
      <w:tr>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Single-page Streamlit dashboard with filters</w:t>
            </w:r>
          </w:p>
        </w:tc>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Full multi-agent orchestration</w:t>
            </w:r>
          </w:p>
        </w:tc>
      </w:tr>
      <w:tr>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Citation-backed strategic summary</w:t>
            </w:r>
          </w:p>
        </w:tc>
        <w:tc>
          <w:tcPr>
            <w:tcW w:type="dxa" w:w="50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Complex PDF extraction</w:t>
            </w:r>
          </w:p>
        </w:tc>
      </w:tr>
      <w:tr>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GitHub README and Streamlit Cloud deployment</w:t>
            </w:r>
          </w:p>
        </w:tc>
        <w:tc>
          <w:tcPr>
            <w:tcW w:type="dxa" w:w="50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Enterprise workflow features</w:t>
            </w:r>
          </w:p>
        </w:tc>
      </w:tr>
    </w:tbl>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6.  Data Sources and Evidence Model</w:t>
      </w:r>
    </w:p>
    <w:p>
      <w:pPr>
        <w:spacing w:after="120" w:before="80"/>
      </w:pPr>
      <w:r>
        <w:rPr>
          <w:rFonts w:ascii="Arial" w:cs="Arial" w:eastAsia="Arial" w:hAnsi="Arial"/>
          <w:color w:val="000000"/>
          <w:sz w:val="22"/>
          <w:szCs w:val="22"/>
        </w:rPr>
        <w:t xml:space="preserve">The tool is built on a tiered evidence model that distinguishes between structured data sources (the backbone), official regulatory sources (verified overlays), and public news signals (unverified overlays that inform but do not anchor claims).</w:t>
      </w:r>
    </w:p>
    <w:p>
      <w:pPr>
        <w:pStyle w:val="Heading2"/>
        <w:spacing w:after="100" w:before="280"/>
      </w:pPr>
      <w:r>
        <w:rPr>
          <w:rFonts w:ascii="Arial" w:cs="Arial" w:eastAsia="Arial" w:hAnsi="Arial"/>
          <w:b/>
          <w:bCs/>
          <w:color w:val="2E74B5"/>
          <w:sz w:val="24"/>
          <w:szCs w:val="24"/>
        </w:rPr>
        <w:t xml:space="preserve">Tier 1 — Structured Backbone (ClinicalTrials.gov API)</w:t>
      </w:r>
    </w:p>
    <w:p>
      <w:pPr>
        <w:spacing w:after="120" w:before="80"/>
      </w:pPr>
      <w:r>
        <w:rPr>
          <w:rFonts w:ascii="Arial" w:cs="Arial" w:eastAsia="Arial" w:hAnsi="Arial"/>
          <w:color w:val="000000"/>
          <w:sz w:val="22"/>
          <w:szCs w:val="22"/>
        </w:rPr>
        <w:t xml:space="preserve">ClinicalTrials.gov is the primary and authoritative data source for the MVP. It provides structured, queryable records for registered clinical trials, including sponsor identity, study phase, enrollment status, primary and study completion dates, condition, intervention, and study design fields. All pipeline density, velocity, and catalyst calendar outputs are derived from this source. Every record used is linked to a canonical study URL.</w:t>
      </w:r>
    </w:p>
    <w:p>
      <w:pPr>
        <w:spacing w:after="120" w:before="80"/>
      </w:pPr>
      <w:r>
        <w:rPr>
          <w:rFonts w:ascii="Arial" w:cs="Arial" w:eastAsia="Arial" w:hAnsi="Arial"/>
          <w:color w:val="000000"/>
          <w:sz w:val="22"/>
          <w:szCs w:val="22"/>
        </w:rPr>
        <w:t xml:space="preserve">Acknowledged limitation: ClinicalTrials.gov data reflects what sponsors have chosen to register and update. Record completeness varies. The tool will display data missingness explicitly rather than imputing or inferring missing fields.</w:t>
      </w:r>
    </w:p>
    <w:p>
      <w:pPr>
        <w:pStyle w:val="Heading2"/>
        <w:spacing w:after="100" w:before="280"/>
      </w:pPr>
      <w:r>
        <w:rPr>
          <w:rFonts w:ascii="Arial" w:cs="Arial" w:eastAsia="Arial" w:hAnsi="Arial"/>
          <w:b/>
          <w:bCs/>
          <w:color w:val="2E74B5"/>
          <w:sz w:val="24"/>
          <w:szCs w:val="24"/>
        </w:rPr>
        <w:t xml:space="preserve">Tier 2 — Regulatory Overlays (FDA, EMA)</w:t>
      </w:r>
    </w:p>
    <w:p>
      <w:pPr>
        <w:spacing w:after="120" w:before="80"/>
      </w:pPr>
      <w:r>
        <w:rPr>
          <w:rFonts w:ascii="Arial" w:cs="Arial" w:eastAsia="Arial" w:hAnsi="Arial"/>
          <w:color w:val="000000"/>
          <w:sz w:val="22"/>
          <w:szCs w:val="22"/>
        </w:rPr>
        <w:t xml:space="preserve">FDA approval announcements, drug label updates, and press announcements are incorporated where they can be retrieved from public pages or RSS feeds. EMA public assessment reports and product information pages provide a European regulatory signal. These sources add context to active programs but are not used as the primary analytical backbone. Each regulatory signal is stored with its source URL and retrieval timestamp.</w:t>
      </w:r>
    </w:p>
    <w:p>
      <w:pPr>
        <w:pStyle w:val="Heading2"/>
        <w:spacing w:after="100" w:before="280"/>
      </w:pPr>
      <w:r>
        <w:rPr>
          <w:rFonts w:ascii="Arial" w:cs="Arial" w:eastAsia="Arial" w:hAnsi="Arial"/>
          <w:b/>
          <w:bCs/>
          <w:color w:val="2E74B5"/>
          <w:sz w:val="24"/>
          <w:szCs w:val="24"/>
        </w:rPr>
        <w:t xml:space="preserve">Tier 3 — News Signal Overlays (Endpoints News, STAT News — RSS, public)</w:t>
      </w:r>
    </w:p>
    <w:p>
      <w:pPr>
        <w:spacing w:after="120" w:before="80"/>
      </w:pPr>
      <w:r>
        <w:rPr>
          <w:rFonts w:ascii="Arial" w:cs="Arial" w:eastAsia="Arial" w:hAnsi="Arial"/>
          <w:color w:val="000000"/>
          <w:sz w:val="22"/>
          <w:szCs w:val="22"/>
        </w:rPr>
        <w:t xml:space="preserve">Public RSS feeds from Endpoints News and STAT News provide industry coverage of trial readouts, approvals, partnership announcements, and competitive developments. News signals are labeled explicitly as overlay signals, not structured data. They do not anchor quantitative claims. They are presented as contextual signals alongside the structured pipeline view.</w:t>
      </w:r>
    </w:p>
    <w:p>
      <w:pPr>
        <w:pStyle w:val="Heading2"/>
        <w:spacing w:after="100" w:before="280"/>
      </w:pPr>
      <w:r>
        <w:rPr>
          <w:rFonts w:ascii="Arial" w:cs="Arial" w:eastAsia="Arial" w:hAnsi="Arial"/>
          <w:b/>
          <w:bCs/>
          <w:color w:val="2E74B5"/>
          <w:sz w:val="24"/>
          <w:szCs w:val="24"/>
        </w:rPr>
        <w:t xml:space="preserve">Evidence Model Rule</w:t>
      </w:r>
    </w:p>
    <w:p>
      <w:pPr>
        <w:spacing w:after="120" w:before="80"/>
      </w:pPr>
      <w:r>
        <w:rPr>
          <w:rFonts w:ascii="Arial" w:cs="Arial" w:eastAsia="Arial" w:hAnsi="Arial"/>
          <w:color w:val="000000"/>
          <w:sz w:val="22"/>
          <w:szCs w:val="22"/>
        </w:rPr>
        <w:t xml:space="preserve">A claim's evidentiary weight in the UI corresponds to its source tier. Tier 1 claims (derived from structured registry records) are presented as the analytical backbone. Tier 2 claims (regulatory) are presented as verified overlays. Tier 3 signals (news) are labeled as signals, not findings. No claim crosses tier boundaries without that transition being visible to the user.</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7.  Reliability and Anti-Hallucination Controls</w:t>
      </w:r>
    </w:p>
    <w:p>
      <w:pPr>
        <w:spacing w:after="120" w:before="80"/>
      </w:pPr>
      <w:r>
        <w:rPr>
          <w:rFonts w:ascii="Arial" w:cs="Arial" w:eastAsia="Arial" w:hAnsi="Arial"/>
          <w:color w:val="000000"/>
          <w:sz w:val="22"/>
          <w:szCs w:val="22"/>
        </w:rPr>
        <w:t xml:space="preserve">Reliability is not a technical detail in this project. It is the product's core differentiating claim. The following controls are not the plumbing — they are the product.</w:t>
      </w:r>
    </w:p>
    <w:p>
      <w:pPr>
        <w:spacing w:after="120" w:before="80"/>
      </w:pPr>
      <w:r>
        <w:rPr>
          <w:rFonts w:ascii="Arial" w:cs="Arial" w:eastAsia="Arial" w:hAnsi="Arial"/>
          <w:b/>
          <w:bCs/>
          <w:color w:val="1F3864"/>
          <w:sz w:val="22"/>
          <w:szCs w:val="22"/>
        </w:rPr>
        <w:t xml:space="preserve">The foundational rule: No source URL. No claim.</w:t>
      </w:r>
    </w:p>
    <w:p>
      <w:pPr>
        <w:spacing w:after="120" w:before="80"/>
      </w:pPr>
      <w:r>
        <w:rPr>
          <w:rFonts w:ascii="Arial" w:cs="Arial" w:eastAsia="Arial" w:hAnsi="Arial"/>
          <w:color w:val="000000"/>
          <w:sz w:val="22"/>
          <w:szCs w:val="22"/>
        </w:rPr>
        <w:t xml:space="preserve">Every piece of information rendered in the Streamlit interface — every metric, every row in a table, every sentence in a narrative summary — must carry a valid, clickable source URL before it can be displayed. This rule is enforced at the application layer, not the prompt layer. It cannot be bypassed by a well-constructed LLM output.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Control</w:t>
            </w:r>
          </w:p>
        </w:tc>
        <w:tc>
          <w:tcPr>
            <w:tcW w:type="dxa" w:w="74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Implementation Standard</w:t>
            </w:r>
          </w:p>
        </w:tc>
      </w:tr>
      <w:tr>
        <w:tc>
          <w:tcPr>
            <w:tcW w:type="dxa" w:w="2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LLM as summarizer only</w:t>
            </w:r>
          </w:p>
        </w:tc>
        <w:tc>
          <w:tcPr>
            <w:tcW w:type="dxa" w:w="7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The LLM receives structured, already-validated records as input and produces readable summaries as output. It is not queried for pharmaceutical facts and has no internet access during inference. It cannot introduce facts into the analytical pipeline.</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Claim schema validation</w:t>
            </w:r>
          </w:p>
        </w:tc>
        <w:tc>
          <w:tcPr>
            <w:tcW w:type="dxa" w:w="7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Narrative outputs are structured claim objects with required fields: claim_text, source_url, source_name, evidence_type, and data_pull_timestamp. Claims that fail schema validation are blocked from rendering.</w:t>
            </w:r>
          </w:p>
        </w:tc>
      </w:tr>
      <w:tr>
        <w:tc>
          <w:tcPr>
            <w:tcW w:type="dxa" w:w="2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Source whitelist</w:t>
            </w:r>
          </w:p>
        </w:tc>
        <w:tc>
          <w:tcPr>
            <w:tcW w:type="dxa" w:w="7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An explicit registry of approved public sources is maintained. In the MVP: ClinicalTrials.gov, FDA.gov, EMA.europa.eu, Endpoints News RSS, and STAT News RSS. Claims referencing other sources cannot render.</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Data freshness transparency</w:t>
            </w:r>
          </w:p>
        </w:tc>
        <w:tc>
          <w:tcPr>
            <w:tcW w:type="dxa" w:w="7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Every dashboard view displays the most recent data retrieval timestamp. A warning banner is shown when cached data exceeds a configurable staleness threshold.</w:t>
            </w:r>
          </w:p>
        </w:tc>
      </w:tr>
      <w:tr>
        <w:tc>
          <w:tcPr>
            <w:tcW w:type="dxa" w:w="2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Unsupported-claim rejection tests</w:t>
            </w:r>
          </w:p>
        </w:tc>
        <w:tc>
          <w:tcPr>
            <w:tcW w:type="dxa" w:w="7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The test suite includes explicit tests confirming that claims without URLs, missing required fields, or referencing non-whitelisted sources are blocked. These tests are a first-class deliverable.</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Explicit scope boundaries</w:t>
            </w:r>
          </w:p>
        </w:tc>
        <w:tc>
          <w:tcPr>
            <w:tcW w:type="dxa" w:w="7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The interface includes a persistent disclaimer stating what the tool covers and what it does not. Sections with incomplete data are rendered with missingness indicators rather than omitted or imputed.</w:t>
            </w:r>
          </w:p>
        </w:tc>
      </w:tr>
    </w:tbl>
    <w:p>
      <w:pPr>
        <w:spacing w:after="0" w:before="120"/>
      </w:pPr>
      <w:r>
        <w:t xml:space="preserve"/>
      </w:r>
    </w:p>
    <w:p>
      <w:pPr>
        <w:spacing w:after="120" w:before="80"/>
      </w:pPr>
      <w:r>
        <w:rPr>
          <w:rFonts w:ascii="Arial" w:cs="Arial" w:eastAsia="Arial" w:hAnsi="Arial"/>
          <w:i/>
          <w:iCs/>
          <w:color w:val="595959"/>
          <w:sz w:val="22"/>
          <w:szCs w:val="22"/>
        </w:rPr>
        <w:t xml:space="preserve">The discipline embedded in this tool — schema-enforced citations, tiered evidence, LLM-as-summarizer-only — represents a portable architectural pattern applicable to any AI-assisted analytical product where evidentiary integrity is non-negotiable. That is the professional claim this project makes.</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8.  Product Architecture</w:t>
      </w:r>
    </w:p>
    <w:p>
      <w:pPr>
        <w:spacing w:after="120" w:before="80"/>
      </w:pPr>
      <w:r>
        <w:rPr>
          <w:rFonts w:ascii="Arial" w:cs="Arial" w:eastAsia="Arial" w:hAnsi="Arial"/>
          <w:color w:val="000000"/>
          <w:sz w:val="22"/>
          <w:szCs w:val="22"/>
        </w:rPr>
        <w:t xml:space="preserve">The architecture is simple, auditable, and maintainable. The prior projects in this portfolio demonstrate multi-agent orchestration and complex validation pipelines. This project demonstrates something different: the product judgment to choose the right level of complexity for the problem.</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Layer</w:t>
            </w:r>
          </w:p>
        </w:tc>
        <w:tc>
          <w:tcPr>
            <w:tcW w:type="dxa" w:w="74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Components and Responsibilities</w:t>
            </w:r>
          </w:p>
        </w:tc>
      </w:tr>
      <w:tr>
        <w:tc>
          <w:tcPr>
            <w:tcW w:type="dxa" w:w="2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Public Sources</w:t>
            </w:r>
          </w:p>
        </w:tc>
        <w:tc>
          <w:tcPr>
            <w:tcW w:type="dxa" w:w="7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ClinicalTrials.gov API  ·  FDA and EMA public pages and RSS  ·  Endpoints and STAT News RSS (public, optional)</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Ingestion Layer</w:t>
            </w:r>
          </w:p>
        </w:tc>
        <w:tc>
          <w:tcPr>
            <w:tcW w:type="dxa" w:w="7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API fetchers and RSS parsers  ·  Raw response cache (JSON, timestamped)  ·  Data pull timestamp logging</w:t>
            </w:r>
          </w:p>
        </w:tc>
      </w:tr>
      <w:tr>
        <w:tc>
          <w:tcPr>
            <w:tcW w:type="dxa" w:w="2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Data Layer (SQLite)</w:t>
            </w:r>
          </w:p>
        </w:tc>
        <w:tc>
          <w:tcPr>
            <w:tcW w:type="dxa" w:w="7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Normalized trial table  ·  Regulatory signal table  ·  News signal table  ·  Source metadata table (URL, name, retrieval timestamp)  ·  Catalyst table (derived from date fields)</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Analytics Layer</w:t>
            </w:r>
          </w:p>
        </w:tc>
        <w:tc>
          <w:tcPr>
            <w:tcW w:type="dxa" w:w="7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density metrics (pandas)  ·  Velocity metrics (date-based aggregations)  ·  Differentiation table (structured field extraction)  ·  Catalyst calendar (forward date filtering)</w:t>
            </w:r>
          </w:p>
        </w:tc>
      </w:tr>
      <w:tr>
        <w:tc>
          <w:tcPr>
            <w:tcW w:type="dxa" w:w="2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Narrative Layer</w:t>
            </w:r>
          </w:p>
        </w:tc>
        <w:tc>
          <w:tcPr>
            <w:tcW w:type="dxa" w:w="7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Citation-constrained claim generation  ·  Claim schema validation  ·  Unsupported claims blocked before rendering</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Streamlit UI</w:t>
            </w:r>
          </w:p>
        </w:tc>
        <w:tc>
          <w:tcPr>
            <w:tcW w:type="dxa" w:w="7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Executive snapshot header  ·  Pipeline density module  ·  Velocity module  ·  Differentiation signals module  ·  Catalyst calendar  ·  Evidence table (on-demand)  ·  Data freshness indicator  ·  Scope disclaimer</w:t>
            </w:r>
          </w:p>
        </w:tc>
      </w:tr>
    </w:tbl>
    <w:p>
      <w:pPr>
        <w:spacing w:after="0" w:before="120"/>
      </w:pPr>
      <w:r>
        <w:t xml:space="preserve"/>
      </w:r>
    </w:p>
    <w:p>
      <w:pPr>
        <w:spacing w:after="120" w:before="80"/>
      </w:pPr>
      <w:r>
        <w:rPr>
          <w:rFonts w:ascii="Arial" w:cs="Arial" w:eastAsia="Arial" w:hAnsi="Arial"/>
          <w:b/>
          <w:bCs/>
          <w:color w:val="000000"/>
          <w:sz w:val="22"/>
          <w:szCs w:val="22"/>
        </w:rPr>
        <w:t xml:space="preserve">Architecture principle: </w:t>
      </w:r>
      <w:r>
        <w:rPr>
          <w:rFonts w:ascii="Arial" w:cs="Arial" w:eastAsia="Arial" w:hAnsi="Arial"/>
          <w:color w:val="000000"/>
          <w:sz w:val="22"/>
          <w:szCs w:val="22"/>
        </w:rPr>
        <w:t xml:space="preserve">The LLM operates only in the Narrative Layer. It receives structured, already-validated data as input and produces summaries as output. It has no access to the ingestion, data, or analytics layers. It cannot introduce facts into the analytical pipeline.</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9.  User Experience</w:t>
      </w:r>
    </w:p>
    <w:p>
      <w:pPr>
        <w:spacing w:after="120" w:before="80"/>
      </w:pPr>
      <w:r>
        <w:rPr>
          <w:rFonts w:ascii="Arial" w:cs="Arial" w:eastAsia="Arial" w:hAnsi="Arial"/>
          <w:color w:val="000000"/>
          <w:sz w:val="22"/>
          <w:szCs w:val="22"/>
        </w:rPr>
        <w:t xml:space="preserve">The application is designed for a reviewer who knows pharmaceutical strategy but may not know this tool. The benchmark question is: can a competent life sciences strategy professional understand what this tool is telling them in under two minutes, without a tutorial?</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Module</w:t>
            </w:r>
          </w:p>
        </w:tc>
        <w:tc>
          <w:tcPr>
            <w:tcW w:type="dxa" w:w="76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What the User Sees and Can Do</w:t>
            </w:r>
          </w:p>
        </w:tc>
      </w:tr>
      <w:tr>
        <w:tc>
          <w:tcPr>
            <w:tcW w:type="dxa" w:w="24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Landing State</w:t>
            </w:r>
          </w:p>
        </w:tc>
        <w:tc>
          <w:tcPr>
            <w:tcW w:type="dxa" w:w="76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Single-page dashboard with a header identifying the therapeutic area, a data freshness timestamp, four clearly labeled analytical modules, and a persistent banner explaining what the tool covers and what it does not.</w:t>
            </w:r>
          </w:p>
        </w:tc>
      </w:tr>
      <w:tr>
        <w:tc>
          <w:tcPr>
            <w:tcW w:type="dxa" w:w="24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Density</w:t>
            </w:r>
          </w:p>
        </w:tc>
        <w:tc>
          <w:tcPr>
            <w:tcW w:type="dxa" w:w="76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Sponsor leaderboard (trial count by sponsor), phase distribution chart, and status breakdown (recruiting, active, completed, terminated). All metrics link to the underlying trial records.</w:t>
            </w:r>
          </w:p>
        </w:tc>
      </w:tr>
      <w:tr>
        <w:tc>
          <w:tcPr>
            <w:tcW w:type="dxa" w:w="24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Velocity</w:t>
            </w:r>
          </w:p>
        </w:tc>
        <w:tc>
          <w:tcPr>
            <w:tcW w:type="dxa" w:w="76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Time-series view of new trial starts and study completions, with a recent activity table showing trials with updates or status changes in the past 90 days. Trend interpretation is limited to what the data supports — no projections.</w:t>
            </w:r>
          </w:p>
        </w:tc>
      </w:tr>
      <w:tr>
        <w:tc>
          <w:tcPr>
            <w:tcW w:type="dxa" w:w="24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Differentiation Signals</w:t>
            </w:r>
          </w:p>
        </w:tc>
        <w:tc>
          <w:tcPr>
            <w:tcW w:type="dxa" w:w="76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Structured table of trials with mechanism, target, sponsor, phase, and notable design fields. Where fields are absent, the table shows 'Not reported' rather than omitting the row. Filterable by sponsor, phase, or target.</w:t>
            </w:r>
          </w:p>
        </w:tc>
      </w:tr>
      <w:tr>
        <w:tc>
          <w:tcPr>
            <w:tcW w:type="dxa" w:w="24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Catalyst Calendar</w:t>
            </w:r>
          </w:p>
        </w:tc>
        <w:tc>
          <w:tcPr>
            <w:tcW w:type="dxa" w:w="76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Forward-looking table of upcoming primary and study completion dates, with any associated regulatory or news signals surfaced as overlays. Each row links to its source record or announcement.</w:t>
            </w:r>
          </w:p>
        </w:tc>
      </w:tr>
      <w:tr>
        <w:tc>
          <w:tcPr>
            <w:tcW w:type="dxa" w:w="24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Evidence Table</w:t>
            </w:r>
          </w:p>
        </w:tc>
        <w:tc>
          <w:tcPr>
            <w:tcW w:type="dxa" w:w="76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On-demand audit view of every claim used in the narrative summary: claim text, source URL, source name, evidence type, and data pull timestamp. The accountability layer that makes the dashboard auditable.</w:t>
            </w:r>
          </w:p>
        </w:tc>
      </w:tr>
    </w:tbl>
    <w:p>
      <w:pPr>
        <w:spacing w:after="0" w:before="120"/>
      </w:pPr>
      <w:r>
        <w:t xml:space="preserve"/>
      </w:r>
    </w:p>
    <w:p>
      <w:pPr>
        <w:spacing w:after="120" w:before="80"/>
      </w:pPr>
      <w:r>
        <w:rPr>
          <w:rFonts w:ascii="Arial" w:cs="Arial" w:eastAsia="Arial" w:hAnsi="Arial"/>
          <w:color w:val="000000"/>
          <w:sz w:val="22"/>
          <w:szCs w:val="22"/>
        </w:rPr>
        <w:t xml:space="preserve">The interaction model in the MVP is primarily read-oriented. Filters for sponsor, phase, and date range are available in the trial explorer and catalyst calendar. There are no free-text queries and no open-ended AI prompts in the MVP interface.</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10.  Roadmap</w:t>
      </w:r>
    </w:p>
    <w:p>
      <w:pPr>
        <w:spacing w:after="120" w:before="80"/>
      </w:pPr>
      <w:r>
        <w:rPr>
          <w:rFonts w:ascii="Arial" w:cs="Arial" w:eastAsia="Arial" w:hAnsi="Arial"/>
          <w:color w:val="000000"/>
          <w:sz w:val="22"/>
          <w:szCs w:val="22"/>
        </w:rPr>
        <w:t xml:space="preserve">The roadmap is organized by exit criteria, not aspirations. Each week ends with a verifiable state of the application.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80"/>
        <w:gridCol w:w="3000"/>
      </w:tblGrid>
      <w:tr>
        <w:trPr>
          <w:tblHeader/>
        </w:trPr>
        <w:tc>
          <w:tcPr>
            <w:tcW w:type="dxa" w:w="16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Phase</w:t>
            </w:r>
          </w:p>
        </w:tc>
        <w:tc>
          <w:tcPr>
            <w:tcW w:type="dxa" w:w="20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Objective</w:t>
            </w:r>
          </w:p>
        </w:tc>
        <w:tc>
          <w:tcPr>
            <w:tcW w:type="dxa" w:w="34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Key Deliverables</w:t>
            </w:r>
          </w:p>
        </w:tc>
        <w:tc>
          <w:tcPr>
            <w:tcW w:type="dxa" w:w="30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Exit Criterion</w:t>
            </w:r>
          </w:p>
        </w:tc>
      </w:tr>
      <w:tr>
        <w:tc>
          <w:tcPr>
            <w:tcW w:type="dxa" w:w="1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Week 1
Data Foundation</w:t>
            </w:r>
          </w:p>
        </w:tc>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Make public data ingestion reliable and reproducible.</w:t>
            </w:r>
          </w:p>
        </w:tc>
        <w:tc>
          <w:tcPr>
            <w:tcW w:type="dxa" w:w="3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GitHub repo with clean structure and initial README; ClinicalTrials.gov API fetcher with ADC/oncology query; raw JSON response cache with timestamps; SQLite schema with normalized trial table and source metadata table; initial Streamlit shell.</w:t>
            </w:r>
          </w:p>
        </w:tc>
        <w:tc>
          <w:tcPr>
            <w:tcW w:type="dxa" w:w="3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App can fetch ADC oncology trials, store them in SQLite, and display sponsor, phase, status, primary completion date, and source URL for each record. Data pull timestamp visible. Runs locally and on Streamlit Cloud.</w:t>
            </w:r>
          </w:p>
        </w:tc>
      </w:tr>
      <w:tr>
        <w:tc>
          <w:tcPr>
            <w:tcW w:type="dxa" w:w="16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Week 2
Analytics and Dashboard</w:t>
            </w:r>
          </w:p>
        </w:tc>
        <w:tc>
          <w:tcPr>
            <w:tcW w:type="dxa" w:w="2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Turn raw trial records into interpretable strategy views.</w:t>
            </w:r>
          </w:p>
        </w:tc>
        <w:tc>
          <w:tcPr>
            <w:tcW w:type="dxa" w:w="34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Pipeline density metrics; sponsor leaderboard; phase and status charts; velocity time-series; recent activity table; differentiation signals table; catalyst calendar with forward date filter; data freshness indicator; basic sponsor and phase filters.</w:t>
            </w:r>
          </w:p>
        </w:tc>
        <w:tc>
          <w:tcPr>
            <w:tcW w:type="dxa" w:w="3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 reviewer unfamiliar with ClinicalTrials.gov can open the app and form an accurate picture of the ADC oncology landscape — who is active, at what stage, and what is coming — without reading raw trial records.</w:t>
            </w:r>
          </w:p>
        </w:tc>
      </w:tr>
      <w:tr>
        <w:tc>
          <w:tcPr>
            <w:tcW w:type="dxa" w:w="16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Week 3
Reliability and Polish</w:t>
            </w:r>
          </w:p>
        </w:tc>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Make the product credible and externally shareable.</w:t>
            </w:r>
          </w:p>
        </w:tc>
        <w:tc>
          <w:tcPr>
            <w:tcW w:type="dxa" w:w="34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Citation-constrained narrative layer; claim schema validation; unsupported-claim rejection tests; evidence table; FDA/EMA overlay integration; optional news RSS overlay; scope disclaimer in UI; final README with architecture, limitations, and portfolio framing; screenshots for GitHub; Streamlit Cloud deployment confirmed.</w:t>
            </w:r>
          </w:p>
        </w:tc>
        <w:tc>
          <w:tcPr>
            <w:tcW w:type="dxa" w:w="3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All Definition of Done items met. App publicly accessible. GitHub repository clean and self-explanatory. Reliable enough to share without qualification.</w:t>
            </w:r>
          </w:p>
        </w:tc>
      </w:tr>
    </w:tbl>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11.  Risks and Mitigations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40"/>
        <w:gridCol w:w="5440"/>
      </w:tblGrid>
      <w:tr>
        <w:trPr>
          <w:tblHeader/>
        </w:trPr>
        <w:tc>
          <w:tcPr>
            <w:tcW w:type="dxa" w:w="20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Risk</w:t>
            </w:r>
          </w:p>
        </w:tc>
        <w:tc>
          <w:tcPr>
            <w:tcW w:type="dxa" w:w="26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Why It Matters</w:t>
            </w:r>
          </w:p>
        </w:tc>
        <w:tc>
          <w:tcPr>
            <w:tcW w:type="dxa" w:w="544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Mitigation</w:t>
            </w:r>
          </w:p>
        </w:tc>
      </w:tr>
      <w:tr>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Scope creep</w:t>
            </w:r>
          </w:p>
        </w:tc>
        <w:tc>
          <w:tcPr>
            <w:tcW w:type="dxa" w:w="26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The project could expand into multi-agent orchestration, additional TAs, or enterprise features — none of which improve the core reliability claim.</w:t>
            </w:r>
          </w:p>
        </w:tc>
        <w:tc>
          <w:tcPr>
            <w:tcW w:type="dxa" w:w="54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Strict MVP definition: one TA, one page, public sources only. No new capability unless explicitly in scope.</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Hallucinated narrative</w:t>
            </w:r>
          </w:p>
        </w:tc>
        <w:tc>
          <w:tcPr>
            <w:tcW w:type="dxa" w:w="26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 single unsupported claim in the UI would undermine the entire reliability thesis.</w:t>
            </w:r>
          </w:p>
        </w:tc>
        <w:tc>
          <w:tcPr>
            <w:tcW w:type="dxa" w:w="54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Claim schema validation enforced at the application layer. Test coverage specifically for unsupported-claim rejection. LLM summarizes; it does not originate facts.</w:t>
            </w:r>
          </w:p>
        </w:tc>
      </w:tr>
      <w:tr>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ClinicalTrials.gov data quality</w:t>
            </w:r>
          </w:p>
        </w:tc>
        <w:tc>
          <w:tcPr>
            <w:tcW w:type="dxa" w:w="26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Records vary significantly in completeness. Mechanism, target, and design fields are often absent or inconsistently populated.</w:t>
            </w:r>
          </w:p>
        </w:tc>
        <w:tc>
          <w:tcPr>
            <w:tcW w:type="dxa" w:w="54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Missingness displayed explicitly. No imputation. Differentiation fields show 'Not reported' rather than inferred values.</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News source access</w:t>
            </w:r>
          </w:p>
        </w:tc>
        <w:tc>
          <w:tcPr>
            <w:tcW w:type="dxa" w:w="26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RSS feeds may change structure, rate-limit, or become unavailable.</w:t>
            </w:r>
          </w:p>
        </w:tc>
        <w:tc>
          <w:tcPr>
            <w:tcW w:type="dxa" w:w="54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News is an overlay, not the backbone. Dashboard functions fully without news signals. Degraded access is flagged in the UI, not silently ignored.</w:t>
            </w:r>
          </w:p>
        </w:tc>
      </w:tr>
      <w:tr>
        <w:tc>
          <w:tcPr>
            <w:tcW w:type="dxa" w:w="20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Weak differentiation extraction</w:t>
            </w:r>
          </w:p>
        </w:tc>
        <w:tc>
          <w:tcPr>
            <w:tcW w:type="dxa" w:w="26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ADC mechanism and target data in ClinicalTrials.gov is often buried in free-text fields and inconsistently formatted.</w:t>
            </w:r>
          </w:p>
        </w:tc>
        <w:tc>
          <w:tcPr>
            <w:tcW w:type="dxa" w:w="544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Initial differentiation table built on structured fields only. Manual mapping added selectively and documented. Over-interpretation of incomplete fields explicitly avoided.</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Reviewer misreading scope</w:t>
            </w:r>
          </w:p>
        </w:tc>
        <w:tc>
          <w:tcPr>
            <w:tcW w:type="dxa" w:w="26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 well-designed dashboard can be mistaken for an enterprise-complete market intelligence product, creating expectations the tool cannot meet.</w:t>
            </w:r>
          </w:p>
        </w:tc>
        <w:tc>
          <w:tcPr>
            <w:tcW w:type="dxa" w:w="544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Persistent UI disclaimer. README opening paragraph states what the tool is and is not. Portfolio framing emphasizes reliability and discipline over comprehensiveness.</w:t>
            </w:r>
          </w:p>
        </w:tc>
      </w:tr>
    </w:tbl>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12.  Definition of Done</w:t>
      </w:r>
    </w:p>
    <w:p>
      <w:pPr>
        <w:spacing w:after="120" w:before="80"/>
      </w:pPr>
      <w:r>
        <w:rPr>
          <w:rFonts w:ascii="Arial" w:cs="Arial" w:eastAsia="Arial" w:hAnsi="Arial"/>
          <w:color w:val="000000"/>
          <w:sz w:val="22"/>
          <w:szCs w:val="22"/>
        </w:rPr>
        <w:t xml:space="preserve">The MVP is complete when every item on this list is true simultaneously.</w:t>
      </w:r>
    </w:p>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The Streamlit application is deployed on Streamlit Cloud and publicly accessible via a stable URL.</w:t>
      </w:r>
    </w:p>
    <w:p>
      <w:pPr>
        <w:pStyle w:val="ListParagraph"/>
        <w:numPr>
          <w:ilvl w:val="0"/>
          <w:numId w:val="3"/>
        </w:numPr>
        <w:spacing w:after="60" w:before="60"/>
      </w:pPr>
      <w:r>
        <w:rPr>
          <w:rFonts w:ascii="Arial" w:cs="Arial" w:eastAsia="Arial" w:hAnsi="Arial"/>
          <w:color w:val="000000"/>
          <w:sz w:val="22"/>
          <w:szCs w:val="22"/>
        </w:rPr>
        <w:t xml:space="preserve">The GitHub repository is clean, organized, and includes a README that explains the tool's purpose, data sources, architecture, limitations, and how to run it locally.</w:t>
      </w:r>
    </w:p>
    <w:p>
      <w:pPr>
        <w:pStyle w:val="ListParagraph"/>
        <w:numPr>
          <w:ilvl w:val="0"/>
          <w:numId w:val="3"/>
        </w:numPr>
        <w:spacing w:after="60" w:before="60"/>
      </w:pPr>
      <w:r>
        <w:rPr>
          <w:rFonts w:ascii="Arial" w:cs="Arial" w:eastAsia="Arial" w:hAnsi="Arial"/>
          <w:color w:val="000000"/>
          <w:sz w:val="22"/>
          <w:szCs w:val="22"/>
        </w:rPr>
        <w:t xml:space="preserve">The ClinicalTrials.gov ingestion pipeline retrieves ADC oncology trials reproducibly and stores them in SQLite with source metadata.</w:t>
      </w:r>
    </w:p>
    <w:p>
      <w:pPr>
        <w:pStyle w:val="ListParagraph"/>
        <w:numPr>
          <w:ilvl w:val="0"/>
          <w:numId w:val="3"/>
        </w:numPr>
        <w:spacing w:after="60" w:before="60"/>
      </w:pPr>
      <w:r>
        <w:rPr>
          <w:rFonts w:ascii="Arial" w:cs="Arial" w:eastAsia="Arial" w:hAnsi="Arial"/>
          <w:color w:val="000000"/>
          <w:sz w:val="22"/>
          <w:szCs w:val="22"/>
        </w:rPr>
        <w:t xml:space="preserve">The dashboard renders all four analytical modules: pipeline density, pipeline velocity, differentiation signals, and catalyst calendar.</w:t>
      </w:r>
    </w:p>
    <w:p>
      <w:pPr>
        <w:pStyle w:val="ListParagraph"/>
        <w:numPr>
          <w:ilvl w:val="0"/>
          <w:numId w:val="3"/>
        </w:numPr>
        <w:spacing w:after="60" w:before="60"/>
      </w:pPr>
      <w:r>
        <w:rPr>
          <w:rFonts w:ascii="Arial" w:cs="Arial" w:eastAsia="Arial" w:hAnsi="Arial"/>
          <w:color w:val="000000"/>
          <w:sz w:val="22"/>
          <w:szCs w:val="22"/>
        </w:rPr>
        <w:t xml:space="preserve">Every claim and every metric in the dashboard can be traced to a clickable source URL.</w:t>
      </w:r>
    </w:p>
    <w:p>
      <w:pPr>
        <w:pStyle w:val="ListParagraph"/>
        <w:numPr>
          <w:ilvl w:val="0"/>
          <w:numId w:val="3"/>
        </w:numPr>
        <w:spacing w:after="60" w:before="60"/>
      </w:pPr>
      <w:r>
        <w:rPr>
          <w:rFonts w:ascii="Arial" w:cs="Arial" w:eastAsia="Arial" w:hAnsi="Arial"/>
          <w:color w:val="000000"/>
          <w:sz w:val="22"/>
          <w:szCs w:val="22"/>
        </w:rPr>
        <w:t xml:space="preserve">Claims without source URLs are blocked by schema validation and confirmed blocked by tests.</w:t>
      </w:r>
    </w:p>
    <w:p>
      <w:pPr>
        <w:pStyle w:val="ListParagraph"/>
        <w:numPr>
          <w:ilvl w:val="0"/>
          <w:numId w:val="3"/>
        </w:numPr>
        <w:spacing w:after="60" w:before="60"/>
      </w:pPr>
      <w:r>
        <w:rPr>
          <w:rFonts w:ascii="Arial" w:cs="Arial" w:eastAsia="Arial" w:hAnsi="Arial"/>
          <w:color w:val="000000"/>
          <w:sz w:val="22"/>
          <w:szCs w:val="22"/>
        </w:rPr>
        <w:t xml:space="preserve">The evidence table is accessible on demand and shows claim text, source URL, source name, evidence type, and data pull timestamp for every narrative claim.</w:t>
      </w:r>
    </w:p>
    <w:p>
      <w:pPr>
        <w:pStyle w:val="ListParagraph"/>
        <w:numPr>
          <w:ilvl w:val="0"/>
          <w:numId w:val="3"/>
        </w:numPr>
        <w:spacing w:after="60" w:before="60"/>
      </w:pPr>
      <w:r>
        <w:rPr>
          <w:rFonts w:ascii="Arial" w:cs="Arial" w:eastAsia="Arial" w:hAnsi="Arial"/>
          <w:color w:val="000000"/>
          <w:sz w:val="22"/>
          <w:szCs w:val="22"/>
        </w:rPr>
        <w:t xml:space="preserve">The data freshness timestamp is visible on the dashboard, and a staleness warning is displayed when cached data exceeds the configured threshold.</w:t>
      </w:r>
    </w:p>
    <w:p>
      <w:pPr>
        <w:pStyle w:val="ListParagraph"/>
        <w:numPr>
          <w:ilvl w:val="0"/>
          <w:numId w:val="3"/>
        </w:numPr>
        <w:spacing w:after="60" w:before="60"/>
      </w:pPr>
      <w:r>
        <w:rPr>
          <w:rFonts w:ascii="Arial" w:cs="Arial" w:eastAsia="Arial" w:hAnsi="Arial"/>
          <w:color w:val="000000"/>
          <w:sz w:val="22"/>
          <w:szCs w:val="22"/>
        </w:rPr>
        <w:t xml:space="preserve">The dashboard includes a persistent scope disclaimer explaining what the tool covers and what it does not.</w:t>
      </w:r>
    </w:p>
    <w:p>
      <w:pPr>
        <w:pStyle w:val="ListParagraph"/>
        <w:numPr>
          <w:ilvl w:val="0"/>
          <w:numId w:val="3"/>
        </w:numPr>
        <w:spacing w:after="60" w:before="60"/>
      </w:pPr>
      <w:r>
        <w:rPr>
          <w:rFonts w:ascii="Arial" w:cs="Arial" w:eastAsia="Arial" w:hAnsi="Arial"/>
          <w:color w:val="000000"/>
          <w:sz w:val="22"/>
          <w:szCs w:val="22"/>
        </w:rPr>
        <w:t xml:space="preserve">The application runs end-to-end on Streamlit Cloud without manual intervention.</w:t>
      </w:r>
    </w:p>
    <w:p>
      <w:pPr>
        <w:pStyle w:val="ListParagraph"/>
        <w:numPr>
          <w:ilvl w:val="0"/>
          <w:numId w:val="3"/>
        </w:numPr>
        <w:spacing w:after="60" w:before="60"/>
      </w:pPr>
      <w:r>
        <w:rPr>
          <w:rFonts w:ascii="Arial" w:cs="Arial" w:eastAsia="Arial" w:hAnsi="Arial"/>
          <w:color w:val="000000"/>
          <w:sz w:val="22"/>
          <w:szCs w:val="22"/>
        </w:rPr>
        <w:t xml:space="preserve">A reviewer with life sciences strategy experience can orient to the ADC oncology landscape using the dashboard in under two minutes without a tutorial.</w:t>
      </w:r>
    </w:p>
    <w:p>
      <w:pPr>
        <w:pStyle w:val="ListParagraph"/>
        <w:numPr>
          <w:ilvl w:val="0"/>
          <w:numId w:val="3"/>
        </w:numPr>
        <w:spacing w:after="60" w:before="60"/>
      </w:pPr>
      <w:r>
        <w:rPr>
          <w:rFonts w:ascii="Arial" w:cs="Arial" w:eastAsia="Arial" w:hAnsi="Arial"/>
          <w:color w:val="000000"/>
          <w:sz w:val="22"/>
          <w:szCs w:val="22"/>
        </w:rPr>
        <w:t xml:space="preserve">The tool is credible, not inflated. A knowledgeable reviewer would not feel misled about what the tool does.</w:t>
      </w:r>
    </w:p>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13.  Portfolio and Recruiting Positioning</w:t>
      </w:r>
    </w:p>
    <w:p>
      <w:pPr>
        <w:spacing w:after="120" w:before="80"/>
      </w:pPr>
      <w:r>
        <w:rPr>
          <w:rFonts w:ascii="Arial" w:cs="Arial" w:eastAsia="Arial" w:hAnsi="Arial"/>
          <w:color w:val="000000"/>
          <w:sz w:val="22"/>
          <w:szCs w:val="22"/>
        </w:rPr>
        <w:t xml:space="preserve">This tool is positioned as a public-data pharmaceutical strategy intelligence dashboard, not as an enterprise market intelligence platform. The strongest version of the portfolio claim is not that the tool is comprehensive — it is that it is trustworthy. In a field where AI-generated summaries of pharmaceutical landscapes are common and frequently unreliable, a tool that makes an architectural commitment to source-level traceability is a meaningful and defensible claim.</w:t>
      </w:r>
    </w:p>
    <w:p>
      <w:pPr>
        <w:pStyle w:val="Heading2"/>
        <w:spacing w:after="100" w:before="280"/>
      </w:pPr>
      <w:r>
        <w:rPr>
          <w:rFonts w:ascii="Arial" w:cs="Arial" w:eastAsia="Arial" w:hAnsi="Arial"/>
          <w:b/>
          <w:bCs/>
          <w:color w:val="2E74B5"/>
          <w:sz w:val="24"/>
          <w:szCs w:val="24"/>
        </w:rPr>
        <w:t xml:space="preserve">How This Project Fits the Broader Portfolio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Project</w:t>
            </w:r>
          </w:p>
        </w:tc>
        <w:tc>
          <w:tcPr>
            <w:tcW w:type="dxa" w:w="72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What It Demonstrates</w:t>
            </w:r>
          </w:p>
        </w:tc>
      </w:tr>
      <w:tr>
        <w:tc>
          <w:tcPr>
            <w:tcW w:type="dxa" w:w="28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STRATEGIST</w:t>
            </w:r>
          </w:p>
        </w:tc>
        <w:tc>
          <w:tcPr>
            <w:tcW w:type="dxa" w:w="72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Multi-agent orchestration, adversarial validation, confidence scoring, audit-style outputs, human-in-the-loop review.</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J&amp;J Commercial Intelligence Platform</w:t>
            </w:r>
          </w:p>
        </w:tc>
        <w:tc>
          <w:tcPr>
            <w:tcW w:type="dxa" w:w="72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Pharma-specific adaptation, regulatory and market signal integration, executive briefing generation, Streamlit dashboarding.</w:t>
            </w:r>
          </w:p>
        </w:tc>
      </w:tr>
      <w:tr>
        <w:tc>
          <w:tcPr>
            <w:tcW w:type="dxa" w:w="28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Pharmaceutical Strategic Intelligence Tool</w:t>
            </w:r>
          </w:p>
        </w:tc>
        <w:tc>
          <w:tcPr>
            <w:tcW w:type="dxa" w:w="72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Product judgment: the ability to scope a narrow, reliable, externally shareable product; public data engineering discipline; reliability-first architecture applied to a commercially relevant domain.</w:t>
            </w:r>
          </w:p>
        </w:tc>
      </w:tr>
    </w:tbl>
    <w:p>
      <w:pPr>
        <w:spacing w:after="0" w:before="120"/>
      </w:pPr>
      <w:r>
        <w:t xml:space="preserve"/>
      </w:r>
    </w:p>
    <w:p>
      <w:pPr>
        <w:spacing w:after="120" w:before="80"/>
      </w:pPr>
      <w:r>
        <w:rPr>
          <w:rFonts w:ascii="Arial" w:cs="Arial" w:eastAsia="Arial" w:hAnsi="Arial"/>
          <w:color w:val="000000"/>
          <w:sz w:val="22"/>
          <w:szCs w:val="22"/>
        </w:rPr>
        <w:t xml:space="preserve">The three projects are complementary, not redundant. STRATEGIST demonstrates what you can build when complexity is warranted. The J&amp;J platform demonstrates pharma domain adaptation. This project demonstrates that you know when not to build a complex system — and that you can build something narrow, reliable, and genuinely useful instead.</w:t>
      </w:r>
    </w:p>
    <w:p>
      <w:pPr>
        <w:pStyle w:val="Heading2"/>
        <w:spacing w:after="100" w:before="280"/>
      </w:pPr>
      <w:r>
        <w:rPr>
          <w:rFonts w:ascii="Arial" w:cs="Arial" w:eastAsia="Arial" w:hAnsi="Arial"/>
          <w:b/>
          <w:bCs/>
          <w:color w:val="2E74B5"/>
          <w:sz w:val="24"/>
          <w:szCs w:val="24"/>
        </w:rPr>
        <w:t xml:space="preserve">Recommended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Context</w:t>
            </w:r>
          </w:p>
        </w:tc>
        <w:tc>
          <w:tcPr>
            <w:tcW w:type="dxa" w:w="76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Recommended Language</w:t>
            </w:r>
          </w:p>
        </w:tc>
      </w:tr>
      <w:tr>
        <w:tc>
          <w:tcPr>
            <w:tcW w:type="dxa" w:w="24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One-line description</w:t>
            </w:r>
          </w:p>
        </w:tc>
        <w:tc>
          <w:tcPr>
            <w:tcW w:type="dxa" w:w="76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 public-data pharmaceutical strategic intelligence dashboard that converts ClinicalTrials.gov and regulatory signals into a citation-backed competitive snapshot of the ADC oncology landscape.</w:t>
            </w:r>
          </w:p>
        </w:tc>
      </w:tr>
      <w:tr>
        <w:tc>
          <w:tcPr>
            <w:tcW w:type="dxa" w:w="24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Resume bullet (pre-deployment)</w:t>
            </w:r>
          </w:p>
        </w:tc>
        <w:tc>
          <w:tcPr>
            <w:tcW w:type="dxa" w:w="76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Designed and built a public-data pharmaceutical intelligence dashboard in Python and Streamlit that generates citation-backed therapeutic area snapshots from ClinicalTrials.gov, FDA, and EMA public sources, with schema-level controls preventing unsupported AI claims.</w:t>
            </w:r>
          </w:p>
        </w:tc>
      </w:tr>
      <w:tr>
        <w:tc>
          <w:tcPr>
            <w:tcW w:type="dxa" w:w="24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Resume bullet (post-deployment)</w:t>
            </w:r>
          </w:p>
        </w:tc>
        <w:tc>
          <w:tcPr>
            <w:tcW w:type="dxa" w:w="76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Deployed a public-data pharmaceutical strategic intelligence tool on Streamlit Cloud; converts ClinicalTrials.gov and regulatory signals into a source-linked ADC oncology competitive snapshot with pipeline density, velocity, differentiation, and catalyst views; every displayed claim traces to a clickable public source.</w:t>
            </w:r>
          </w:p>
        </w:tc>
      </w:tr>
      <w:tr>
        <w:tc>
          <w:tcPr>
            <w:tcW w:type="dxa" w:w="24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Portfolio framing for interviews</w:t>
            </w:r>
          </w:p>
        </w:tc>
        <w:tc>
          <w:tcPr>
            <w:tcW w:type="dxa" w:w="76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"The interesting design decision in this project was not technical — it was scope. I had just finished building two more complex systems. This project was about demonstrating the opposite judgment: knowing how to build something small enough to be reliable and honest enough to be trustworthy. The tool does less than it could. That is the point."</w:t>
            </w:r>
          </w:p>
        </w:tc>
      </w:tr>
    </w:tbl>
    <w:p>
      <w:r>
        <w:br w:type="page"/>
      </w:r>
    </w:p>
    <w:p>
      <w:pPr>
        <w:pStyle w:val="Heading1"/>
        <w:pBdr>
          <w:bottom w:val="single" w:color="2E74B5" w:sz="8" w:space="6"/>
        </w:pBdr>
        <w:spacing w:after="160" w:before="360"/>
      </w:pPr>
      <w:r>
        <w:rPr>
          <w:rFonts w:ascii="Arial" w:cs="Arial" w:eastAsia="Arial" w:hAnsi="Arial"/>
          <w:b/>
          <w:bCs/>
          <w:color w:val="1F3864"/>
          <w:sz w:val="28"/>
          <w:szCs w:val="28"/>
        </w:rPr>
        <w:t xml:space="preserve">14.  Final Recommendation</w:t>
      </w:r>
    </w:p>
    <w:p>
      <w:pPr>
        <w:spacing w:after="120" w:before="80"/>
      </w:pPr>
      <w:r>
        <w:rPr>
          <w:rFonts w:ascii="Arial" w:cs="Arial" w:eastAsia="Arial" w:hAnsi="Arial"/>
          <w:b/>
          <w:bCs/>
          <w:color w:val="1F3864"/>
          <w:sz w:val="24"/>
          <w:szCs w:val="24"/>
        </w:rPr>
        <w:t xml:space="preserve">Proceed. Protect the scope. Prioritize the reliability architecture.</w:t>
      </w:r>
    </w:p>
    <w:p>
      <w:pPr>
        <w:spacing w:after="0" w:before="80"/>
      </w:pPr>
      <w:r>
        <w:t xml:space="preserve"/>
      </w:r>
    </w:p>
    <w:p>
      <w:pPr>
        <w:spacing w:after="120" w:before="80"/>
      </w:pPr>
      <w:r>
        <w:rPr>
          <w:rFonts w:ascii="Arial" w:cs="Arial" w:eastAsia="Arial" w:hAnsi="Arial"/>
          <w:color w:val="000000"/>
          <w:sz w:val="22"/>
          <w:szCs w:val="22"/>
        </w:rPr>
        <w:t xml:space="preserve">The project as defined is achievable, credible, and strategically well-positioned. Its value to the portfolio does not come from its comprehensiveness — it comes from the discipline with which it is built. A narrow, deployed, publicly accessible tool with genuine source-level traceability is more valuable as a portfolio artifact than a broader system that makes claims it cannot fully support.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Execution Principle</w:t>
            </w:r>
          </w:p>
        </w:tc>
        <w:tc>
          <w:tcPr>
            <w:tcW w:type="dxa" w:w="6880"/>
            <w:gridSpan w:val="1"/>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Why It Matters</w:t>
            </w:r>
          </w:p>
        </w:tc>
      </w:tr>
      <w:tr>
        <w:tc>
          <w:tcPr>
            <w:tcW w:type="dxa" w:w="32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Build the evidence architecture before the UI.</w:t>
            </w:r>
          </w:p>
        </w:tc>
        <w:tc>
          <w:tcPr>
            <w:tcW w:type="dxa" w:w="68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The claim schema, source whitelist, and unsupported-claim rejection logic should be in place before the dashboard is styled. It is easier to build the reliability layer into the foundation than to retrofit it afterward.</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Treat the README as a first-class deliverable.</w:t>
            </w:r>
          </w:p>
        </w:tc>
        <w:tc>
          <w:tcPr>
            <w:tcW w:type="dxa" w:w="6880"/>
            <w:gridSpan w:val="1"/>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A reviewer who encounters this project will read the README before they open the app. It should explain purpose, boundaries, data sources, and reliability architecture in plain language — including what the tool does not do.</w:t>
            </w:r>
          </w:p>
        </w:tc>
      </w:tr>
      <w:tr>
        <w:tc>
          <w:tcPr>
            <w:tcW w:type="dxa" w:w="320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Resist feature additions until the core is complete.</w:t>
            </w:r>
          </w:p>
        </w:tc>
        <w:tc>
          <w:tcPr>
            <w:tcW w:type="dxa" w:w="6880"/>
            <w:gridSpan w:val="1"/>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20"/>
                <w:szCs w:val="20"/>
              </w:rPr>
              <w:t xml:space="preserve">Every additional data source, analytical view, or UI element is a threat to the timeline and the reliability guarantee. The MVP is defined. Build it completely before extending it.</w:t>
            </w:r>
          </w:p>
        </w:tc>
      </w:tr>
    </w:tbl>
    <w:p>
      <w:pPr>
        <w:spacing w:after="0" w:before="120"/>
      </w:pPr>
      <w:r>
        <w:t xml:space="preserve"/>
      </w:r>
    </w:p>
    <w:p>
      <w:pPr>
        <w:spacing w:after="120" w:before="80"/>
      </w:pPr>
      <w:r>
        <w:rPr>
          <w:rFonts w:ascii="Arial" w:cs="Arial" w:eastAsia="Arial" w:hAnsi="Arial"/>
          <w:i/>
          <w:iCs/>
          <w:color w:val="595959"/>
          <w:sz w:val="22"/>
          <w:szCs w:val="22"/>
        </w:rPr>
        <w:t xml:space="preserve">The goal is not to impress reviewers with scale. It is to demonstrate something harder: the judgment to build the right tool for the problem, reliably, and to know exactly what you have built and what you have not.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20"/>
    </w:pPr>
    <w:r>
      <w:rPr>
        <w:rFonts w:ascii="Arial" w:cs="Arial" w:eastAsia="Arial" w:hAnsi="Arial"/>
        <w:color w:val="595959"/>
        <w:sz w:val="16"/>
        <w:szCs w:val="16"/>
      </w:rPr>
      <w:t xml:space="preserve">Confidential — 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2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STRATEGIC PROPOSAL — REVISED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2026-05-01T03:42:37.175Z</dcterms:created>
  <dcterms:modified xsi:type="dcterms:W3CDTF">2026-05-01T03:42:37.175Z</dcterms:modified>
</cp:coreProperties>
</file>

<file path=docProps/custom.xml><?xml version="1.0" encoding="utf-8"?>
<Properties xmlns="http://schemas.openxmlformats.org/officeDocument/2006/custom-properties" xmlns:vt="http://schemas.openxmlformats.org/officeDocument/2006/docPropsVTypes"/>
</file>