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imad</w:t>
      </w:r>
    </w:p>
    <w:p w14:paraId="3B8E1A7F" w14:textId="77777777" w:rsidR="007F0C7F" w:rsidRDefault="00000000">
      <w:r>
        <w:t>Patient's Name: x y</w:t>
      </w:r>
    </w:p>
    <w:p w14:paraId="559B4297" w14:textId="77777777" w:rsidR="007F0C7F" w:rsidRDefault="00000000">
      <w:r>
        <w:t>Date: 2025-04-09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965278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eu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5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Le patient présente les signes cliniques typiques d’une pneumonie, notamment une fièvre élevée, une toux productive avec expectorations purulentes, une dyspnée (difficulté respiratoire) et une douleur thoracique, surtout à l'inspiration profonde. À l’auscultation pulmonaire, des râles crépitants ont été entendus au niveau du lobe inférieur du poumon droit, suggérant une atteinte alvéolaire.</w:t>
        <w:br/>
        <w:br/>
        <w:br/>
        <w:br/>
        <w:t>Une radiographie thoracique a révélé une opacité localisée, confirmant le diagnostic de pneumonie lobaire. Des examens biologiques ont montré une élévation des globules blancs (leucocytose) ainsi qu’un taux élevé de protéine C-réactive (CRP), signes d’un processus inflammatoire aigu.</w:t>
        <w:br/>
        <w:br/>
        <w:br/>
        <w:br/>
        <w:t>Le traitement a été initié par une antibiothérapie adaptée, associée à un traitement symptomatique incluant des antipyrétiques et une bonne hydratation. Le suivi médical a permis d’observer une amélioration progressive de l’état clinique du patient.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