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numPr>
          <w:ilvl w:val="0"/>
          <w:numId w:val="2"/>
        </w:numPr>
        <w:bidi w:val="0"/>
        <w:spacing w:before="240" w:after="120"/>
        <w:jc w:val="left"/>
        <w:rPr/>
      </w:pPr>
      <w:r>
        <w:rPr>
          <w:rStyle w:val="StrongEmphasis"/>
          <w:b/>
          <w:sz w:val="22"/>
          <w:szCs w:val="22"/>
        </w:rPr>
        <w:t>Vertice360 – Resumen Financiero Ajustado (Realista LATAM)</w:t>
      </w:r>
    </w:p>
    <w:p>
      <w:pPr>
        <w:pStyle w:val="Heading3"/>
        <w:rPr/>
      </w:pPr>
      <w:r>
        <w:rPr>
          <w:rStyle w:val="Emphasis"/>
          <w:b/>
          <w:sz w:val="22"/>
          <w:szCs w:val="22"/>
        </w:rPr>
        <w:t>Un solo núcleo. Dos mercados. ROI sostenible, no acelerado.</w:t>
      </w:r>
    </w:p>
    <w:p>
      <w:pPr>
        <w:pStyle w:val="Horizontal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/>
      </w:pPr>
      <w:r>
        <w:rPr>
          <w:sz w:val="22"/>
          <w:szCs w:val="22"/>
        </w:rPr>
        <w:t xml:space="preserve">💰 </w:t>
      </w:r>
      <w:r>
        <w:rPr>
          <w:rStyle w:val="StrongEmphasis"/>
          <w:b/>
          <w:sz w:val="22"/>
          <w:szCs w:val="22"/>
        </w:rPr>
        <w:t>Inversión Inicial (Meses 1–3)</w:t>
      </w:r>
    </w:p>
    <w:tbl>
      <w:tblPr>
        <w:tblW w:w="7850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61"/>
        <w:gridCol w:w="2389"/>
      </w:tblGrid>
      <w:tr>
        <w:trPr>
          <w:tblHeader w:val="true"/>
        </w:trPr>
        <w:tc>
          <w:tcPr>
            <w:tcW w:w="5461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Concepto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Monto</w:t>
            </w:r>
          </w:p>
        </w:tc>
      </w:tr>
      <w:tr>
        <w:trPr/>
        <w:tc>
          <w:tcPr>
            <w:tcW w:w="546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Desarrollo del MVP</w:t>
            </w:r>
            <w:r>
              <w:rPr>
                <w:sz w:val="22"/>
                <w:szCs w:val="22"/>
              </w:rPr>
              <w:t xml:space="preserve"> (con Arquitecto + Diseñador UX)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45,000</w:t>
            </w:r>
          </w:p>
        </w:tc>
      </w:tr>
      <w:tr>
        <w:trPr/>
        <w:tc>
          <w:tcPr>
            <w:tcW w:w="546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Desembolso mensual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15,000 × 3 meses</w:t>
            </w:r>
          </w:p>
        </w:tc>
      </w:tr>
      <w:tr>
        <w:trPr/>
        <w:tc>
          <w:tcPr>
            <w:tcW w:w="546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Equipo incluido</w:t>
            </w:r>
            <w:r>
              <w:rPr>
                <w:sz w:val="22"/>
                <w:szCs w:val="22"/>
              </w:rPr>
              <w:t>: Arquitecto, UX, PO, devs, QA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Sí</w:t>
            </w:r>
          </w:p>
        </w:tc>
      </w:tr>
      <w:tr>
        <w:trPr/>
        <w:tc>
          <w:tcPr>
            <w:tcW w:w="546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Infraestructura</w:t>
            </w:r>
            <w:r>
              <w:rPr>
                <w:sz w:val="22"/>
                <w:szCs w:val="22"/>
              </w:rPr>
              <w:t>: cloud, APIs, Kommo, LLM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Incluido</w:t>
            </w:r>
          </w:p>
        </w:tc>
      </w:tr>
    </w:tbl>
    <w:p>
      <w:pPr>
        <w:pStyle w:val="TextBody"/>
        <w:ind w:left="567" w:right="567" w:hanging="0"/>
        <w:rPr/>
      </w:pPr>
      <w:r>
        <w:rPr>
          <w:sz w:val="22"/>
          <w:szCs w:val="22"/>
        </w:rPr>
        <w:t xml:space="preserve">✅ </w:t>
      </w:r>
      <w:r>
        <w:rPr>
          <w:sz w:val="22"/>
          <w:szCs w:val="22"/>
        </w:rPr>
        <w:t xml:space="preserve">MVP listo para operar desde el </w:t>
      </w:r>
      <w:r>
        <w:rPr>
          <w:rStyle w:val="StrongEmphasis"/>
          <w:b/>
          <w:sz w:val="22"/>
          <w:szCs w:val="22"/>
        </w:rPr>
        <w:t>Mes 4</w:t>
      </w:r>
      <w:r>
        <w:rPr>
          <w:sz w:val="22"/>
          <w:szCs w:val="22"/>
        </w:rPr>
        <w:t>, con onboarding en &lt;</w:t>
      </w:r>
      <w:r>
        <w:rPr>
          <w:rFonts w:eastAsia="Noto Serif CJK SC" w:cs="Lohit Devanagari"/>
          <w:color w:val="auto"/>
          <w:kern w:val="2"/>
          <w:sz w:val="22"/>
          <w:szCs w:val="22"/>
          <w:lang w:val="en-US" w:eastAsia="zh-CN" w:bidi="hi-IN"/>
        </w:rPr>
        <w:t>15 dias</w:t>
      </w:r>
      <w:r>
        <w:rPr>
          <w:sz w:val="22"/>
          <w:szCs w:val="22"/>
        </w:rPr>
        <w:t xml:space="preserve"> y white label.</w:t>
      </w:r>
    </w:p>
    <w:p>
      <w:pPr>
        <w:pStyle w:val="Horizontal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/>
      </w:pPr>
      <w:r>
        <w:rPr>
          <w:sz w:val="22"/>
          <w:szCs w:val="22"/>
        </w:rPr>
        <w:t xml:space="preserve">📈 </w:t>
      </w:r>
      <w:r>
        <w:rPr>
          <w:rStyle w:val="StrongEmphasis"/>
          <w:b/>
          <w:sz w:val="22"/>
          <w:szCs w:val="22"/>
        </w:rPr>
        <w:t>Volumen de Negocios Esperado – Año 1 (Escenario Realista)</w:t>
      </w:r>
    </w:p>
    <w:p>
      <w:pPr>
        <w:pStyle w:val="TextBody"/>
        <w:rPr/>
      </w:pPr>
      <w:r>
        <w:rPr>
          <w:sz w:val="22"/>
          <w:szCs w:val="22"/>
        </w:rPr>
        <w:t xml:space="preserve">Basado en acceso a redes de élite + desarrolladoras, pero con </w:t>
      </w:r>
      <w:r>
        <w:rPr>
          <w:rStyle w:val="StrongEmphasis"/>
          <w:b/>
          <w:sz w:val="22"/>
          <w:szCs w:val="22"/>
        </w:rPr>
        <w:t>velocidad real de cierre B2B en LATAM</w:t>
      </w:r>
      <w:r>
        <w:rPr>
          <w:sz w:val="22"/>
          <w:szCs w:val="22"/>
        </w:rPr>
        <w:t xml:space="preserve"> (45–90 días) y mix de tamaños de proyecto.</w:t>
      </w:r>
    </w:p>
    <w:p>
      <w:pPr>
        <w:pStyle w:val="Heading3"/>
        <w:rPr/>
      </w:pPr>
      <w:r>
        <w:rPr>
          <w:rStyle w:val="StrongEmphasis"/>
          <w:b/>
          <w:sz w:val="22"/>
          <w:szCs w:val="22"/>
        </w:rPr>
        <w:t>Proyección de clientes Año 1</w:t>
      </w:r>
    </w:p>
    <w:tbl>
      <w:tblPr>
        <w:tblW w:w="9972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45"/>
        <w:gridCol w:w="1027"/>
        <w:gridCol w:w="1347"/>
        <w:gridCol w:w="2721"/>
        <w:gridCol w:w="2832"/>
      </w:tblGrid>
      <w:tr>
        <w:trPr>
          <w:tblHeader w:val="true"/>
        </w:trPr>
        <w:tc>
          <w:tcPr>
            <w:tcW w:w="2045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Segmento</w:t>
            </w:r>
          </w:p>
        </w:tc>
        <w:tc>
          <w:tcPr>
            <w:tcW w:w="1027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Clientes</w:t>
            </w:r>
          </w:p>
        </w:tc>
        <w:tc>
          <w:tcPr>
            <w:tcW w:w="1347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Proyectos</w:t>
            </w:r>
          </w:p>
        </w:tc>
        <w:tc>
          <w:tcPr>
            <w:tcW w:w="2721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Plan predominante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Proyectos por plan</w:t>
            </w:r>
          </w:p>
        </w:tc>
      </w:tr>
      <w:tr>
        <w:trPr/>
        <w:tc>
          <w:tcPr>
            <w:tcW w:w="2045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Equipos comerciales</w:t>
            </w:r>
          </w:p>
        </w:tc>
        <w:tc>
          <w:tcPr>
            <w:tcW w:w="1027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347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2721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Growth (70%), Starter (30%)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 Growth / 8 Starter</w:t>
            </w:r>
          </w:p>
        </w:tc>
      </w:tr>
      <w:tr>
        <w:trPr/>
        <w:tc>
          <w:tcPr>
            <w:tcW w:w="2045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Desarrolladoras</w:t>
            </w:r>
          </w:p>
        </w:tc>
        <w:tc>
          <w:tcPr>
            <w:tcW w:w="1027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347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721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Growth (60%), Pro (40%)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 Growth / 5 Pro</w:t>
            </w:r>
          </w:p>
        </w:tc>
      </w:tr>
      <w:tr>
        <w:trPr/>
        <w:tc>
          <w:tcPr>
            <w:tcW w:w="204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Total Año 1</w:t>
            </w:r>
          </w:p>
        </w:tc>
        <w:tc>
          <w:tcPr>
            <w:tcW w:w="102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7 clientes</w:t>
            </w:r>
          </w:p>
        </w:tc>
        <w:tc>
          <w:tcPr>
            <w:tcW w:w="134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40 proyectos</w:t>
            </w:r>
          </w:p>
        </w:tc>
        <w:tc>
          <w:tcPr>
            <w:tcW w:w="2721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27 Growth / 8 Starter / 5 Pro</w:t>
            </w:r>
          </w:p>
        </w:tc>
      </w:tr>
    </w:tbl>
    <w:p>
      <w:pPr>
        <w:pStyle w:val="Horizontal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rPr/>
      </w:pPr>
      <w:r>
        <w:rPr>
          <w:rStyle w:val="StrongEmphasis"/>
          <w:b/>
          <w:sz w:val="22"/>
          <w:szCs w:val="22"/>
        </w:rPr>
        <w:t>Ingresos Año 1</w:t>
      </w:r>
    </w:p>
    <w:tbl>
      <w:tblPr>
        <w:tblW w:w="85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41"/>
        <w:gridCol w:w="1098"/>
        <w:gridCol w:w="2056"/>
        <w:gridCol w:w="3010"/>
        <w:gridCol w:w="1476"/>
      </w:tblGrid>
      <w:tr>
        <w:trPr>
          <w:tblHeader w:val="true"/>
        </w:trPr>
        <w:tc>
          <w:tcPr>
            <w:tcW w:w="941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Plan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Proyectos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Setup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Mensual (9 meses promedio)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Total</w:t>
            </w:r>
          </w:p>
        </w:tc>
      </w:tr>
      <w:tr>
        <w:trPr/>
        <w:tc>
          <w:tcPr>
            <w:tcW w:w="941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Starter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sz w:val="22"/>
                <w:szCs w:val="22"/>
              </w:rPr>
              <w:t xml:space="preserve">8 × 1,500 = </w:t>
            </w:r>
            <w:r>
              <w:rPr>
                <w:rStyle w:val="StrongEmphasis"/>
                <w:b/>
                <w:sz w:val="22"/>
                <w:szCs w:val="22"/>
              </w:rPr>
              <w:t>12,000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sz w:val="22"/>
                <w:szCs w:val="22"/>
              </w:rPr>
              <w:t xml:space="preserve">8 × 250 × 9 = </w:t>
            </w:r>
            <w:r>
              <w:rPr>
                <w:rStyle w:val="StrongEmphasis"/>
                <w:b/>
                <w:sz w:val="22"/>
                <w:szCs w:val="22"/>
              </w:rPr>
              <w:t>18,000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30,000</w:t>
            </w:r>
          </w:p>
        </w:tc>
      </w:tr>
      <w:tr>
        <w:trPr/>
        <w:tc>
          <w:tcPr>
            <w:tcW w:w="941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Growth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sz w:val="22"/>
                <w:szCs w:val="22"/>
              </w:rPr>
              <w:t xml:space="preserve">27 × 3,000 = </w:t>
            </w:r>
            <w:r>
              <w:rPr>
                <w:rStyle w:val="StrongEmphasis"/>
                <w:b/>
                <w:sz w:val="22"/>
                <w:szCs w:val="22"/>
              </w:rPr>
              <w:t>81,000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sz w:val="22"/>
                <w:szCs w:val="22"/>
              </w:rPr>
              <w:t xml:space="preserve">27 × 450 × 9 = </w:t>
            </w:r>
            <w:r>
              <w:rPr>
                <w:rStyle w:val="StrongEmphasis"/>
                <w:b/>
                <w:sz w:val="22"/>
                <w:szCs w:val="22"/>
              </w:rPr>
              <w:t>109,350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190,350</w:t>
            </w:r>
          </w:p>
        </w:tc>
      </w:tr>
      <w:tr>
        <w:trPr/>
        <w:tc>
          <w:tcPr>
            <w:tcW w:w="941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sz w:val="22"/>
                <w:szCs w:val="22"/>
              </w:rPr>
              <w:t xml:space="preserve">5 × 5,000 = </w:t>
            </w:r>
            <w:r>
              <w:rPr>
                <w:rStyle w:val="StrongEmphasis"/>
                <w:b/>
                <w:sz w:val="22"/>
                <w:szCs w:val="22"/>
              </w:rPr>
              <w:t>25,000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sz w:val="22"/>
                <w:szCs w:val="22"/>
              </w:rPr>
              <w:t xml:space="preserve">5 × 750 × 9 = </w:t>
            </w:r>
            <w:r>
              <w:rPr>
                <w:rStyle w:val="StrongEmphasis"/>
                <w:b/>
                <w:sz w:val="22"/>
                <w:szCs w:val="22"/>
              </w:rPr>
              <w:t>33,750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58,750</w:t>
            </w:r>
          </w:p>
        </w:tc>
      </w:tr>
      <w:tr>
        <w:trPr/>
        <w:tc>
          <w:tcPr>
            <w:tcW w:w="9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TOTAL</w:t>
            </w:r>
          </w:p>
        </w:tc>
        <w:tc>
          <w:tcPr>
            <w:tcW w:w="109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40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118,000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161,100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279,100</w:t>
            </w:r>
          </w:p>
        </w:tc>
      </w:tr>
    </w:tbl>
    <w:p>
      <w:pPr>
        <w:pStyle w:val="Horizontal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/>
      </w:pPr>
      <w:r>
        <w:rPr>
          <w:sz w:val="22"/>
          <w:szCs w:val="22"/>
        </w:rPr>
        <w:t xml:space="preserve">💸 </w:t>
      </w:r>
      <w:r>
        <w:rPr>
          <w:rStyle w:val="StrongEmphasis"/>
          <w:b/>
          <w:sz w:val="22"/>
          <w:szCs w:val="22"/>
        </w:rPr>
        <w:t>Costos Operativos – Año 1</w:t>
      </w:r>
    </w:p>
    <w:tbl>
      <w:tblPr>
        <w:tblW w:w="5703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12"/>
        <w:gridCol w:w="3191"/>
      </w:tblGrid>
      <w:tr>
        <w:trPr>
          <w:tblHeader w:val="true"/>
        </w:trPr>
        <w:tc>
          <w:tcPr>
            <w:tcW w:w="2512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Concepto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Monto</w:t>
            </w:r>
          </w:p>
        </w:tc>
      </w:tr>
      <w:tr>
        <w:trPr/>
        <w:tc>
          <w:tcPr>
            <w:tcW w:w="251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Meses 1–3 (MVP)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USD 45,000</w:t>
            </w:r>
          </w:p>
        </w:tc>
      </w:tr>
      <w:tr>
        <w:trPr/>
        <w:tc>
          <w:tcPr>
            <w:tcW w:w="251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Meses 4–12 (operación)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sz w:val="22"/>
                <w:szCs w:val="22"/>
              </w:rPr>
              <w:t xml:space="preserve">USD 10,000 × 9 = </w:t>
            </w:r>
            <w:r>
              <w:rPr>
                <w:rStyle w:val="StrongEmphasis"/>
                <w:b/>
                <w:sz w:val="22"/>
                <w:szCs w:val="22"/>
              </w:rPr>
              <w:t>USD 90,000</w:t>
            </w:r>
          </w:p>
        </w:tc>
      </w:tr>
      <w:tr>
        <w:trPr/>
        <w:tc>
          <w:tcPr>
            <w:tcW w:w="251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TOTAL Año 1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135,000</w:t>
            </w:r>
          </w:p>
        </w:tc>
      </w:tr>
    </w:tbl>
    <w:p>
      <w:pPr>
        <w:pStyle w:val="TextBody"/>
        <w:ind w:left="567" w:right="567" w:hanging="0"/>
        <w:rPr>
          <w:sz w:val="22"/>
          <w:szCs w:val="22"/>
        </w:rPr>
      </w:pPr>
      <w:r>
        <w:rPr>
          <w:sz w:val="22"/>
          <w:szCs w:val="22"/>
        </w:rPr>
        <w:t xml:space="preserve">⚠️ </w:t>
      </w:r>
      <w:r>
        <w:rPr>
          <w:sz w:val="22"/>
          <w:szCs w:val="22"/>
        </w:rPr>
        <w:t>Incluye buffer para soporte, actualizaciones, y 15% de churn no cobrado.</w:t>
      </w:r>
    </w:p>
    <w:p>
      <w:pPr>
        <w:pStyle w:val="Horizontal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/>
      </w:pPr>
      <w:r>
        <w:rPr>
          <w:sz w:val="22"/>
          <w:szCs w:val="22"/>
        </w:rPr>
        <w:t xml:space="preserve">📊 </w:t>
      </w:r>
      <w:r>
        <w:rPr>
          <w:rStyle w:val="StrongEmphasis"/>
          <w:b/>
          <w:sz w:val="22"/>
          <w:szCs w:val="22"/>
        </w:rPr>
        <w:t>Rentabilidad Año 1</w:t>
      </w:r>
    </w:p>
    <w:tbl>
      <w:tblPr>
        <w:tblW w:w="3180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04"/>
        <w:gridCol w:w="1476"/>
      </w:tblGrid>
      <w:tr>
        <w:trPr>
          <w:tblHeader w:val="true"/>
        </w:trPr>
        <w:tc>
          <w:tcPr>
            <w:tcW w:w="1704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Concepto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Head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Monto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Ingresos totales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USD 279,100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Costos totales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USD 135,000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Utilidad neta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144,100</w:t>
            </w:r>
          </w:p>
        </w:tc>
      </w:tr>
      <w:tr>
        <w:trPr/>
        <w:tc>
          <w:tcPr>
            <w:tcW w:w="170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Margen neto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  <w:b/>
                <w:sz w:val="22"/>
                <w:szCs w:val="22"/>
              </w:rPr>
              <w:t>52%</w:t>
            </w:r>
          </w:p>
        </w:tc>
      </w:tr>
    </w:tbl>
    <w:p>
      <w:pPr>
        <w:pStyle w:val="TextBody"/>
        <w:ind w:left="567" w:right="567" w:hanging="0"/>
        <w:rPr>
          <w:sz w:val="22"/>
          <w:szCs w:val="22"/>
        </w:rPr>
      </w:pPr>
      <w:r>
        <w:rPr>
          <w:sz w:val="22"/>
          <w:szCs w:val="22"/>
        </w:rPr>
        <w:t xml:space="preserve">✅ </w:t>
      </w:r>
      <w:r>
        <w:rPr>
          <w:sz w:val="22"/>
          <w:szCs w:val="22"/>
        </w:rPr>
        <w:t>Margen sólido, ajustado a la realidad de soporte y morosidad en LATAM.</w:t>
      </w:r>
    </w:p>
    <w:p>
      <w:pPr>
        <w:pStyle w:val="Horizontal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/>
      </w:pPr>
      <w:r>
        <w:rPr>
          <w:sz w:val="22"/>
          <w:szCs w:val="22"/>
        </w:rPr>
        <w:t xml:space="preserve">🔄 </w:t>
      </w:r>
      <w:r>
        <w:rPr>
          <w:rStyle w:val="StrongEmphasis"/>
          <w:b/>
          <w:sz w:val="22"/>
          <w:szCs w:val="22"/>
        </w:rPr>
        <w:t>Retorno de Inversión (ROI)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7" w:hanging="283"/>
        <w:rPr/>
      </w:pPr>
      <w:r>
        <w:rPr>
          <w:rStyle w:val="StrongEmphasis"/>
          <w:b/>
          <w:sz w:val="22"/>
          <w:szCs w:val="22"/>
        </w:rPr>
        <w:t>Inversión en MVP</w:t>
      </w:r>
      <w:r>
        <w:rPr>
          <w:sz w:val="22"/>
          <w:szCs w:val="22"/>
        </w:rPr>
        <w:t xml:space="preserve">: </w:t>
      </w:r>
      <w:r>
        <w:rPr>
          <w:rStyle w:val="StrongEmphasis"/>
          <w:b/>
          <w:sz w:val="22"/>
          <w:szCs w:val="22"/>
        </w:rPr>
        <w:t>USD 45,000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7" w:hanging="283"/>
        <w:rPr/>
      </w:pPr>
      <w:r>
        <w:rPr>
          <w:rStyle w:val="StrongEmphasis"/>
          <w:b/>
          <w:sz w:val="22"/>
          <w:szCs w:val="22"/>
        </w:rPr>
        <w:t>Utilidad neta acumulada al Mes 9</w:t>
      </w:r>
      <w:r>
        <w:rPr>
          <w:sz w:val="22"/>
          <w:szCs w:val="22"/>
        </w:rPr>
        <w:t xml:space="preserve">: ~USD 50,000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  <w:b/>
          <w:sz w:val="22"/>
          <w:szCs w:val="22"/>
        </w:rPr>
        <w:t>Recuperación total</w:t>
      </w:r>
      <w:r>
        <w:rPr>
          <w:sz w:val="22"/>
          <w:szCs w:val="22"/>
        </w:rPr>
        <w:t xml:space="preserve">: </w:t>
      </w:r>
      <w:r>
        <w:rPr>
          <w:rStyle w:val="StrongEmphasis"/>
          <w:b/>
          <w:sz w:val="22"/>
          <w:szCs w:val="22"/>
        </w:rPr>
        <w:t>Mes 9–10</w:t>
      </w:r>
    </w:p>
    <w:p>
      <w:pPr>
        <w:pStyle w:val="Heading3"/>
        <w:numPr>
          <w:ilvl w:val="0"/>
          <w:numId w:val="0"/>
        </w:numPr>
        <w:ind w:left="0" w:hanging="0"/>
        <w:rPr>
          <w:b/>
          <w:sz w:val="22"/>
          <w:szCs w:val="22"/>
        </w:rPr>
      </w:pPr>
      <w:r>
        <w:rPr>
          <w:b/>
          <w:sz w:val="22"/>
          <w:szCs w:val="22"/>
        </w:rPr>
        <w:t>ROI al cierre del Año 1:</w:t>
      </w:r>
    </w:p>
    <w:p>
      <w:pPr>
        <w:pStyle w:val="TextBody"/>
        <w:ind w:left="567" w:right="567" w:hanging="0"/>
        <w:rPr/>
      </w:pPr>
      <w:r>
        <w:rPr>
          <w:rStyle w:val="StrongEmphasis"/>
          <w:b/>
          <w:sz w:val="22"/>
          <w:szCs w:val="22"/>
        </w:rPr>
        <w:t>USD 144,100 / USD 45,000 = +320%</w:t>
      </w:r>
    </w:p>
    <w:p>
      <w:pPr>
        <w:pStyle w:val="TextBody"/>
        <w:ind w:left="567" w:right="567" w:hanging="0"/>
        <w:rPr/>
      </w:pPr>
      <w:r>
        <w:rPr>
          <w:sz w:val="22"/>
          <w:szCs w:val="22"/>
        </w:rPr>
        <w:t xml:space="preserve">👉 </w:t>
      </w:r>
      <w:r>
        <w:rPr>
          <w:rStyle w:val="StrongEmphasis"/>
          <w:b/>
          <w:sz w:val="22"/>
          <w:szCs w:val="22"/>
        </w:rPr>
        <w:t>Por cada USD 1 invertido, se generan USD 3.20 de utilidad neta.</w:t>
      </w:r>
    </w:p>
    <w:p>
      <w:pPr>
        <w:pStyle w:val="Horizontal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/>
      </w:pPr>
      <w:r>
        <w:rPr>
          <w:sz w:val="22"/>
          <w:szCs w:val="22"/>
        </w:rPr>
        <w:t xml:space="preserve">📌 </w:t>
      </w:r>
      <w:r>
        <w:rPr>
          <w:rStyle w:val="StrongEmphasis"/>
          <w:b/>
          <w:sz w:val="22"/>
          <w:szCs w:val="22"/>
        </w:rPr>
        <w:t>Claves del Éxito (con enfoque realista)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7" w:hanging="283"/>
        <w:rPr/>
      </w:pPr>
      <w:r>
        <w:rPr>
          <w:rStyle w:val="StrongEmphasis"/>
          <w:b/>
          <w:sz w:val="22"/>
          <w:szCs w:val="22"/>
        </w:rPr>
        <w:t>Pricing alineado al valor real</w:t>
      </w:r>
      <w:r>
        <w:rPr>
          <w:sz w:val="22"/>
          <w:szCs w:val="22"/>
        </w:rPr>
        <w:t xml:space="preserve">: un proyecto de 500 m² no paga como uno de 15,000 m².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7" w:hanging="283"/>
        <w:rPr/>
      </w:pPr>
      <w:r>
        <w:rPr>
          <w:rStyle w:val="StrongEmphasis"/>
          <w:b/>
          <w:sz w:val="22"/>
          <w:szCs w:val="22"/>
        </w:rPr>
        <w:t>Doble mercado, mismo núcleo</w:t>
      </w:r>
      <w:r>
        <w:rPr>
          <w:sz w:val="22"/>
          <w:szCs w:val="22"/>
        </w:rPr>
        <w:t xml:space="preserve">: no duplicamos desarrollo, sí multiplicamos ingresos.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7" w:hanging="283"/>
        <w:rPr/>
      </w:pPr>
      <w:r>
        <w:rPr>
          <w:rStyle w:val="StrongEmphasis"/>
          <w:b/>
          <w:sz w:val="22"/>
          <w:szCs w:val="22"/>
        </w:rPr>
        <w:t>ROI medible en 60 días</w:t>
      </w:r>
      <w:r>
        <w:rPr>
          <w:sz w:val="22"/>
          <w:szCs w:val="22"/>
        </w:rPr>
        <w:t xml:space="preserve">: “evitamos 1 devolución = +USD 10k–15k” → justifica el setup.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7" w:hanging="283"/>
        <w:rPr/>
      </w:pPr>
      <w:r>
        <w:rPr>
          <w:rStyle w:val="StrongEmphasis"/>
          <w:b/>
          <w:sz w:val="22"/>
          <w:szCs w:val="22"/>
        </w:rPr>
        <w:t>Canal asegurado</w:t>
      </w:r>
      <w:r>
        <w:rPr>
          <w:sz w:val="22"/>
          <w:szCs w:val="22"/>
        </w:rPr>
        <w:t xml:space="preserve">: el socio comercial abre puertas que nadie más tiene.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  <w:b/>
          <w:sz w:val="22"/>
          <w:szCs w:val="22"/>
        </w:rPr>
        <w:t>MVP de calidad</w:t>
      </w:r>
      <w:r>
        <w:rPr>
          <w:sz w:val="22"/>
          <w:szCs w:val="22"/>
        </w:rPr>
        <w:t>: Arquitecto + UX evitan retrabajo catastrófico en Mes 6.</w:t>
      </w:r>
    </w:p>
    <w:p>
      <w:pPr>
        <w:pStyle w:val="Horizontal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/>
      </w:pPr>
      <w:r>
        <w:rPr>
          <w:sz w:val="22"/>
          <w:szCs w:val="22"/>
        </w:rPr>
        <w:t xml:space="preserve">🔮 </w:t>
      </w:r>
      <w:r>
        <w:rPr>
          <w:rStyle w:val="StrongEmphasis"/>
          <w:b/>
          <w:sz w:val="22"/>
          <w:szCs w:val="22"/>
        </w:rPr>
        <w:t>Proyección Año 2 (si validamos Año 1)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7" w:hanging="283"/>
        <w:rPr/>
      </w:pPr>
      <w:r>
        <w:rPr>
          <w:rStyle w:val="StrongEmphasis"/>
          <w:b/>
          <w:sz w:val="22"/>
          <w:szCs w:val="22"/>
        </w:rPr>
        <w:t>70–80 proyectos</w:t>
      </w:r>
      <w:r>
        <w:rPr>
          <w:sz w:val="22"/>
          <w:szCs w:val="22"/>
        </w:rPr>
        <w:t xml:space="preserve"> (mix Starter/Growth/Pro)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7" w:hanging="283"/>
        <w:rPr/>
      </w:pPr>
      <w:r>
        <w:rPr>
          <w:rStyle w:val="StrongEmphasis"/>
          <w:b/>
          <w:sz w:val="22"/>
          <w:szCs w:val="22"/>
        </w:rPr>
        <w:t>Ingresos</w:t>
      </w:r>
      <w:r>
        <w:rPr>
          <w:sz w:val="22"/>
          <w:szCs w:val="22"/>
        </w:rPr>
        <w:t xml:space="preserve">: USD 500,000–600,000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7" w:hanging="283"/>
        <w:rPr/>
      </w:pPr>
      <w:r>
        <w:rPr>
          <w:rStyle w:val="StrongEmphasis"/>
          <w:b/>
          <w:sz w:val="22"/>
          <w:szCs w:val="22"/>
        </w:rPr>
        <w:t>Utilidad neta</w:t>
      </w:r>
      <w:r>
        <w:rPr>
          <w:sz w:val="22"/>
          <w:szCs w:val="22"/>
        </w:rPr>
        <w:t xml:space="preserve">: USD 350,000–420,000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7" w:hanging="283"/>
        <w:rPr/>
      </w:pPr>
      <w:r>
        <w:rPr>
          <w:rStyle w:val="StrongEmphasis"/>
          <w:b/>
          <w:sz w:val="22"/>
          <w:szCs w:val="22"/>
        </w:rPr>
        <w:t>ARR</w:t>
      </w:r>
      <w:r>
        <w:rPr>
          <w:sz w:val="22"/>
          <w:szCs w:val="22"/>
        </w:rPr>
        <w:t xml:space="preserve">: ~USD 400,000–480,000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  <w:b/>
          <w:sz w:val="22"/>
          <w:szCs w:val="22"/>
        </w:rPr>
        <w:t>ROI acumulado</w:t>
      </w:r>
      <w:r>
        <w:rPr>
          <w:sz w:val="22"/>
          <w:szCs w:val="22"/>
        </w:rPr>
        <w:t xml:space="preserve">: </w:t>
      </w:r>
      <w:r>
        <w:rPr>
          <w:rStyle w:val="StrongEmphasis"/>
          <w:b/>
          <w:sz w:val="22"/>
          <w:szCs w:val="22"/>
        </w:rPr>
        <w:t>&gt;1,000% sobre inversión inicial</w:t>
      </w:r>
    </w:p>
    <w:p>
      <w:pPr>
        <w:pStyle w:val="HorizontalLin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rPr/>
      </w:pPr>
      <w:r>
        <w:rPr>
          <w:sz w:val="22"/>
          <w:szCs w:val="22"/>
        </w:rPr>
        <w:t xml:space="preserve">✅ </w:t>
      </w:r>
      <w:r>
        <w:rPr>
          <w:rStyle w:val="StrongEmphasis"/>
          <w:b/>
          <w:sz w:val="22"/>
          <w:szCs w:val="22"/>
        </w:rPr>
        <w:t>Para los socios: ¿Por qué este modelo funciona?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7" w:hanging="283"/>
        <w:rPr/>
      </w:pPr>
      <w:r>
        <w:rPr>
          <w:rStyle w:val="StrongEmphasis"/>
          <w:b/>
          <w:sz w:val="22"/>
          <w:szCs w:val="22"/>
        </w:rPr>
        <w:t>No vendemos features. Vendemos ROI concreto y medible.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7" w:hanging="283"/>
        <w:rPr/>
      </w:pPr>
      <w:r>
        <w:rPr>
          <w:rStyle w:val="StrongEmphasis"/>
          <w:b/>
          <w:sz w:val="22"/>
          <w:szCs w:val="22"/>
        </w:rPr>
        <w:t>El MVP es caro solo si falla. Si funciona, es barato.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7" w:hanging="283"/>
        <w:rPr/>
      </w:pPr>
      <w:r>
        <w:rPr>
          <w:rStyle w:val="StrongEmphasis"/>
          <w:b/>
          <w:sz w:val="22"/>
          <w:szCs w:val="22"/>
        </w:rPr>
        <w:t>El riesgo está acotado (USD 45k), el upside es exponencial.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  <w:b/>
          <w:sz w:val="22"/>
          <w:szCs w:val="22"/>
        </w:rPr>
        <w:t>En LATAM, el que sobrevive el Año 1 con margen positivo, gana el mercado.</w:t>
      </w:r>
    </w:p>
    <w:p>
      <w:pPr>
        <w:pStyle w:val="TextBody"/>
        <w:bidi w:val="0"/>
        <w:spacing w:before="240" w:after="120"/>
        <w:jc w:val="left"/>
        <w:rPr>
          <w:rStyle w:val="StrongEmphasis"/>
          <w:b/>
          <w:b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LibreOffice/6.4.7.2$Linux_X86_64 LibreOffice_project/40$Build-2</Application>
  <Pages>2</Pages>
  <Words>523</Words>
  <Characters>2384</Characters>
  <CharactersWithSpaces>2797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2025-12-10T09:56:58Z</dcterms:created>
  <dc:creator/>
  <dc:description/>
  <dc:language>en-US</dc:language>
  <cp:lastModifiedBy/>
  <dcterms:modified xsi:type="dcterms:W3CDTF">2025-12-10T13:10:03Z</dcterms:modified>
  <cp:revision>3</cp:revision>
  <dc:subject/>
  <dc:title/>
</cp:coreProperties>
</file>