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>Perfecto. Basado en los dos documentos que me compartiste —</w:t>
      </w:r>
      <w:r>
        <w:rPr>
          <w:rStyle w:val="StrongEmphasis"/>
          <w:sz w:val="22"/>
          <w:szCs w:val="22"/>
        </w:rPr>
        <w:t>“</w:t>
      </w:r>
      <w:r>
        <w:rPr>
          <w:rStyle w:val="StrongEmphasis"/>
          <w:b/>
          <w:sz w:val="22"/>
          <w:szCs w:val="22"/>
        </w:rPr>
        <w:t>SISTEMA INTEGRAL DEL MARIO CASTRO TEAM”</w:t>
      </w:r>
      <w:r>
        <w:rPr>
          <w:sz w:val="22"/>
          <w:szCs w:val="22"/>
        </w:rPr>
        <w:t xml:space="preserve"> y </w:t>
      </w:r>
      <w:r>
        <w:rPr>
          <w:rStyle w:val="StrongEmphasis"/>
          <w:sz w:val="22"/>
          <w:szCs w:val="22"/>
        </w:rPr>
        <w:t>“</w:t>
      </w:r>
      <w:r>
        <w:rPr>
          <w:rStyle w:val="StrongEmphasis"/>
          <w:b/>
          <w:sz w:val="22"/>
          <w:szCs w:val="22"/>
        </w:rPr>
        <w:t>Sistema Comercial y Financiero + IA para Desarrolladores Inmobiliarios”</w:t>
      </w:r>
      <w:r>
        <w:rPr>
          <w:sz w:val="22"/>
          <w:szCs w:val="22"/>
        </w:rPr>
        <w:t xml:space="preserve">— entiendo que el segundo documento describe una </w:t>
      </w:r>
      <w:r>
        <w:rPr>
          <w:rStyle w:val="StrongEmphasis"/>
          <w:b/>
          <w:sz w:val="22"/>
          <w:szCs w:val="22"/>
        </w:rPr>
        <w:t>versión especializada y optimizada del mismo ecosistema</w:t>
      </w:r>
      <w:r>
        <w:rPr>
          <w:sz w:val="22"/>
          <w:szCs w:val="22"/>
        </w:rPr>
        <w:t xml:space="preserve">, pero </w:t>
      </w:r>
      <w:r>
        <w:rPr>
          <w:rStyle w:val="StrongEmphasis"/>
          <w:b/>
          <w:sz w:val="22"/>
          <w:szCs w:val="22"/>
        </w:rPr>
        <w:t>enfocada específicamente en desarrolladores inmobiliarios</w:t>
      </w:r>
      <w:r>
        <w:rPr>
          <w:sz w:val="22"/>
          <w:szCs w:val="22"/>
        </w:rPr>
        <w:t>, con mayor profundidad en: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sz w:val="22"/>
          <w:szCs w:val="22"/>
        </w:rPr>
        <w:t xml:space="preserve">Gestión financiera de </w:t>
      </w:r>
      <w:r>
        <w:rPr>
          <w:rStyle w:val="StrongEmphasis"/>
          <w:b/>
          <w:sz w:val="22"/>
          <w:szCs w:val="22"/>
        </w:rPr>
        <w:t>fideicomisos y obras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Proyecciones de caja con múltiples escenarios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Alertas tempranas de riesgo (obra, venta, cobranza)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sz w:val="22"/>
          <w:szCs w:val="22"/>
        </w:rPr>
        <w:t xml:space="preserve">Experiencia post-venta con </w:t>
      </w:r>
      <w:r>
        <w:rPr>
          <w:rStyle w:val="StrongEmphasis"/>
          <w:b/>
          <w:sz w:val="22"/>
          <w:szCs w:val="22"/>
        </w:rPr>
        <w:t>portal del inversor/comprador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sz w:val="22"/>
          <w:szCs w:val="22"/>
        </w:rPr>
        <w:t xml:space="preserve">Integración comercial-financiera con lógica de </w:t>
      </w:r>
      <w:r>
        <w:rPr>
          <w:rStyle w:val="StrongEmphasis"/>
          <w:b/>
          <w:sz w:val="22"/>
          <w:szCs w:val="22"/>
        </w:rPr>
        <w:t>desarrollo inmobiliario argentino</w:t>
      </w:r>
    </w:p>
    <w:p>
      <w:pPr>
        <w:pStyle w:val="TextBody"/>
        <w:bidi w:val="0"/>
        <w:jc w:val="left"/>
        <w:rPr/>
      </w:pPr>
      <w:r>
        <w:rPr>
          <w:sz w:val="22"/>
          <w:szCs w:val="22"/>
        </w:rPr>
        <w:t xml:space="preserve">Entonces, aquí va el análisis específico </w:t>
      </w:r>
      <w:r>
        <w:rPr>
          <w:rStyle w:val="StrongEmphasis"/>
          <w:b/>
          <w:sz w:val="22"/>
          <w:szCs w:val="22"/>
        </w:rPr>
        <w:t>para el mercado argentino</w:t>
      </w:r>
      <w:r>
        <w:rPr>
          <w:sz w:val="22"/>
          <w:szCs w:val="22"/>
        </w:rPr>
        <w:t xml:space="preserve">, del </w:t>
      </w:r>
      <w:r>
        <w:rPr>
          <w:rStyle w:val="StrongEmphasis"/>
          <w:b/>
          <w:sz w:val="22"/>
          <w:szCs w:val="22"/>
        </w:rPr>
        <w:t>Sistema Comercial y Financiero + IA para Desarrolladores Inmobiliarios</w:t>
      </w:r>
      <w:r>
        <w:rPr>
          <w:sz w:val="22"/>
          <w:szCs w:val="22"/>
        </w:rPr>
        <w:t>: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/>
      </w:pPr>
      <w:r>
        <w:rPr>
          <w:sz w:val="22"/>
          <w:szCs w:val="22"/>
        </w:rPr>
        <w:t xml:space="preserve">🧠 </w:t>
      </w:r>
      <w:r>
        <w:rPr>
          <w:rStyle w:val="StrongEmphasis"/>
          <w:b/>
          <w:sz w:val="22"/>
          <w:szCs w:val="22"/>
        </w:rPr>
        <w:t>Naturaleza del Proyecto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No es una aplicación genérica. Es un </w:t>
      </w:r>
      <w:r>
        <w:rPr>
          <w:rStyle w:val="StrongEmphasis"/>
          <w:b/>
          <w:sz w:val="22"/>
          <w:szCs w:val="22"/>
        </w:rPr>
        <w:t>sistema verticalizado, end-to-end</w:t>
      </w:r>
      <w:r>
        <w:rPr>
          <w:sz w:val="22"/>
          <w:szCs w:val="22"/>
        </w:rPr>
        <w:t xml:space="preserve">, diseñado exclusivamente para </w:t>
      </w:r>
      <w:r>
        <w:rPr>
          <w:rStyle w:val="StrongEmphasis"/>
          <w:b/>
          <w:sz w:val="22"/>
          <w:szCs w:val="22"/>
        </w:rPr>
        <w:t>desarrolladores inmobiliarios</w:t>
      </w:r>
      <w:r>
        <w:rPr>
          <w:sz w:val="22"/>
          <w:szCs w:val="22"/>
        </w:rPr>
        <w:t xml:space="preserve"> que gestionan </w:t>
      </w:r>
      <w:r>
        <w:rPr>
          <w:rStyle w:val="StrongEmphasis"/>
          <w:b/>
          <w:sz w:val="22"/>
          <w:szCs w:val="22"/>
        </w:rPr>
        <w:t>proyectos bajo fideicomiso</w:t>
      </w:r>
      <w:r>
        <w:rPr>
          <w:sz w:val="22"/>
          <w:szCs w:val="22"/>
        </w:rPr>
        <w:t>, con: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Alta rotación de unidades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Financiación a cuotas (pesos/dólar/UF)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Riesgos de obra e inflación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Necesidad de sincronizar comercial, obra, legal, finanzas y comunicación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/>
      </w:pPr>
      <w:r>
        <w:rPr>
          <w:sz w:val="22"/>
          <w:szCs w:val="22"/>
        </w:rPr>
        <w:t xml:space="preserve">⏳ </w:t>
      </w:r>
      <w:r>
        <w:rPr>
          <w:rStyle w:val="StrongEmphasis"/>
          <w:b/>
          <w:sz w:val="22"/>
          <w:szCs w:val="22"/>
        </w:rPr>
        <w:t>Estimación de Tiempos (Argentina, 2025)</w:t>
      </w:r>
    </w:p>
    <w:tbl>
      <w:tblPr>
        <w:tblW w:w="9972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34"/>
        <w:gridCol w:w="6400"/>
        <w:gridCol w:w="1338"/>
      </w:tblGrid>
      <w:tr>
        <w:trPr>
          <w:tblHeader w:val="true"/>
        </w:trPr>
        <w:tc>
          <w:tcPr>
            <w:tcW w:w="2234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Etapa</w:t>
            </w:r>
          </w:p>
        </w:tc>
        <w:tc>
          <w:tcPr>
            <w:tcW w:w="6400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Actividades clave</w:t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Tiempo estimado</w:t>
            </w:r>
          </w:p>
        </w:tc>
      </w:tr>
      <w:tr>
        <w:trPr/>
        <w:tc>
          <w:tcPr>
            <w:tcW w:w="223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1. Análisis funcional + diseño técnico</w:t>
            </w:r>
          </w:p>
        </w:tc>
        <w:tc>
          <w:tcPr>
            <w:tcW w:w="640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Modelado financiero de fideicomisos, etapas de obra, esquemas de cobro, reglas de neuroventa, integración con escribanías, bancos, contabilidad argentina (RG AFIP)</w:t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5–7 semanas</w:t>
            </w:r>
          </w:p>
        </w:tc>
      </w:tr>
      <w:tr>
        <w:trPr/>
        <w:tc>
          <w:tcPr>
            <w:tcW w:w="223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2. MVP Comercial + IA de atención</w:t>
            </w:r>
          </w:p>
        </w:tc>
        <w:tc>
          <w:tcPr>
            <w:tcW w:w="640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Chatbot con neuroventa, asignación de leads, seguimiento predictivo, reactivación inteligente</w:t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8–10 semanas</w:t>
            </w:r>
          </w:p>
        </w:tc>
      </w:tr>
      <w:tr>
        <w:trPr/>
        <w:tc>
          <w:tcPr>
            <w:tcW w:w="223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3. Módulo Financiero + Flujo de Caja</w:t>
            </w:r>
          </w:p>
        </w:tc>
        <w:tc>
          <w:tcPr>
            <w:tcW w:w="640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Registro de ventas, cuotas, certificados, gastos por obra, proyecciones multi-escenario, alertas de caja crítica</w:t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10–12 semanas</w:t>
            </w:r>
          </w:p>
        </w:tc>
      </w:tr>
      <w:tr>
        <w:trPr/>
        <w:tc>
          <w:tcPr>
            <w:tcW w:w="223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4. Portal del Inversor + Post-venta</w:t>
            </w:r>
          </w:p>
        </w:tc>
        <w:tc>
          <w:tcPr>
            <w:tcW w:w="640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Avances de obra, documentación legal, historial de pagos, alertas de vencimientos</w:t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6–8 semanas</w:t>
            </w:r>
          </w:p>
        </w:tc>
      </w:tr>
      <w:tr>
        <w:trPr/>
        <w:tc>
          <w:tcPr>
            <w:tcW w:w="223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5. Marketing + Atribución completa</w:t>
            </w:r>
          </w:p>
        </w:tc>
        <w:tc>
          <w:tcPr>
            <w:tcW w:w="640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Integración con Meta/Google Ads, tracking de CPL a venta, ROAS real, optimización con IA</w:t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5–7 semanas</w:t>
            </w:r>
          </w:p>
        </w:tc>
      </w:tr>
      <w:tr>
        <w:trPr/>
        <w:tc>
          <w:tcPr>
            <w:tcW w:w="223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6. Motor de IA estratégica + Alertas</w:t>
            </w:r>
          </w:p>
        </w:tc>
        <w:tc>
          <w:tcPr>
            <w:tcW w:w="640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Simulador “what-if”, recomendaciones dinámicas, alertas de riesgo financiero y comercial</w:t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6–8 semanas</w:t>
            </w:r>
          </w:p>
        </w:tc>
      </w:tr>
      <w:tr>
        <w:trPr/>
        <w:tc>
          <w:tcPr>
            <w:tcW w:w="223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7. Integración, pruebas y despliegue</w:t>
            </w:r>
          </w:p>
        </w:tc>
        <w:tc>
          <w:tcPr>
            <w:tcW w:w="640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QA, integración con facturación electrónica, sistemas contables locales (ej. ContadorMelo, Siigo, etc.), entrenamiento</w:t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4–6 semanas</w:t>
            </w:r>
          </w:p>
        </w:tc>
      </w:tr>
    </w:tbl>
    <w:p>
      <w:pPr>
        <w:pStyle w:val="Heading3"/>
        <w:bidi w:val="0"/>
        <w:jc w:val="left"/>
        <w:rPr/>
      </w:pPr>
      <w:r>
        <w:rPr>
          <w:sz w:val="22"/>
          <w:szCs w:val="22"/>
        </w:rPr>
        <w:t xml:space="preserve">✅ </w:t>
      </w:r>
      <w:r>
        <w:rPr>
          <w:rStyle w:val="StrongEmphasis"/>
          <w:b/>
          <w:sz w:val="22"/>
          <w:szCs w:val="22"/>
        </w:rPr>
        <w:t>Tiempo total estimado: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b/>
          <w:sz w:val="22"/>
          <w:szCs w:val="22"/>
        </w:rPr>
        <w:t>8 a 12 meses</w:t>
      </w:r>
      <w:r>
        <w:rPr>
          <w:sz w:val="22"/>
          <w:szCs w:val="22"/>
        </w:rPr>
        <w:t xml:space="preserve"> (según complejidad del portafolio de proyectos y número de integraciones legales/financieras requeridas)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/>
      </w:pPr>
      <w:r>
        <w:rPr>
          <w:sz w:val="22"/>
          <w:szCs w:val="22"/>
        </w:rPr>
        <w:t xml:space="preserve">💰 </w:t>
      </w:r>
      <w:r>
        <w:rPr>
          <w:rStyle w:val="StrongEmphasis"/>
          <w:b/>
          <w:sz w:val="22"/>
          <w:szCs w:val="22"/>
        </w:rPr>
        <w:t>Estimación de Costos (Argentina, 2025)</w:t>
      </w:r>
    </w:p>
    <w:p>
      <w:pPr>
        <w:pStyle w:val="Heading3"/>
        <w:bidi w:val="0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t>Supuestos clave: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sz w:val="22"/>
          <w:szCs w:val="22"/>
        </w:rPr>
        <w:t xml:space="preserve">Se requiere </w:t>
      </w:r>
      <w:r>
        <w:rPr>
          <w:rStyle w:val="StrongEmphasis"/>
          <w:b/>
          <w:sz w:val="22"/>
          <w:szCs w:val="22"/>
        </w:rPr>
        <w:t>modelado financiero avanzado</w:t>
      </w:r>
      <w:r>
        <w:rPr>
          <w:sz w:val="22"/>
          <w:szCs w:val="22"/>
        </w:rPr>
        <w:t xml:space="preserve"> (fideicomisos, certificaciones, UVA/dólar/ajustes)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Integración con proveedores locales: AFIP, bancos, escribanías, plataformas de firma digital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Uso de IA generativa (LLM) + modelos predictivos (machine learning para caja y ventas)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sz w:val="22"/>
          <w:szCs w:val="22"/>
        </w:rPr>
        <w:t xml:space="preserve">Equipo técnico senior con experiencia en </w:t>
      </w:r>
      <w:r>
        <w:rPr>
          <w:rStyle w:val="StrongEmphasis"/>
          <w:b/>
          <w:sz w:val="22"/>
          <w:szCs w:val="22"/>
        </w:rPr>
        <w:t>real estate tech en Argentina</w:t>
      </w:r>
    </w:p>
    <w:p>
      <w:pPr>
        <w:pStyle w:val="Heading3"/>
        <w:bidi w:val="0"/>
        <w:jc w:val="left"/>
        <w:rPr/>
      </w:pPr>
      <w:r>
        <w:rPr>
          <w:b/>
          <w:sz w:val="22"/>
          <w:szCs w:val="22"/>
        </w:rPr>
        <w:t xml:space="preserve">Horas estimadas: </w:t>
      </w:r>
      <w:r>
        <w:rPr>
          <w:rStyle w:val="StrongEmphasis"/>
          <w:b/>
          <w:sz w:val="22"/>
          <w:szCs w:val="22"/>
        </w:rPr>
        <w:t>3,500 – 4,500 h</w:t>
      </w:r>
    </w:p>
    <w:tbl>
      <w:tblPr>
        <w:tblW w:w="8696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93"/>
        <w:gridCol w:w="965"/>
        <w:gridCol w:w="1474"/>
        <w:gridCol w:w="2164"/>
      </w:tblGrid>
      <w:tr>
        <w:trPr>
          <w:tblHeader w:val="true"/>
        </w:trPr>
        <w:tc>
          <w:tcPr>
            <w:tcW w:w="4093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Rol</w:t>
            </w:r>
          </w:p>
        </w:tc>
        <w:tc>
          <w:tcPr>
            <w:tcW w:w="965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Horas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Tarifa USD/h</w:t>
            </w:r>
          </w:p>
        </w:tc>
        <w:tc>
          <w:tcPr>
            <w:tcW w:w="2164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Subtotal (USD)</w:t>
            </w:r>
          </w:p>
        </w:tc>
      </w:tr>
      <w:tr>
        <w:trPr/>
        <w:tc>
          <w:tcPr>
            <w:tcW w:w="409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Arquitecto de software / PM</w:t>
            </w:r>
          </w:p>
        </w:tc>
        <w:tc>
          <w:tcPr>
            <w:tcW w:w="9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400 h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60–70</w:t>
            </w:r>
          </w:p>
        </w:tc>
        <w:tc>
          <w:tcPr>
            <w:tcW w:w="216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$24k – $28k</w:t>
            </w:r>
          </w:p>
        </w:tc>
      </w:tr>
      <w:tr>
        <w:trPr/>
        <w:tc>
          <w:tcPr>
            <w:tcW w:w="409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Full-stack Sr (React + Node)</w:t>
            </w:r>
          </w:p>
        </w:tc>
        <w:tc>
          <w:tcPr>
            <w:tcW w:w="9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1,800 h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45–60</w:t>
            </w:r>
          </w:p>
        </w:tc>
        <w:tc>
          <w:tcPr>
            <w:tcW w:w="216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$81k – $108k</w:t>
            </w:r>
          </w:p>
        </w:tc>
      </w:tr>
      <w:tr>
        <w:trPr/>
        <w:tc>
          <w:tcPr>
            <w:tcW w:w="409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Data/ML Engineer (IA predictiva)</w:t>
            </w:r>
          </w:p>
        </w:tc>
        <w:tc>
          <w:tcPr>
            <w:tcW w:w="9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600 h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60–80</w:t>
            </w:r>
          </w:p>
        </w:tc>
        <w:tc>
          <w:tcPr>
            <w:tcW w:w="216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$36k – $48k</w:t>
            </w:r>
          </w:p>
        </w:tc>
      </w:tr>
      <w:tr>
        <w:trPr/>
        <w:tc>
          <w:tcPr>
            <w:tcW w:w="409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Diseñador UX/UI</w:t>
            </w:r>
          </w:p>
        </w:tc>
        <w:tc>
          <w:tcPr>
            <w:tcW w:w="9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300 h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40–50</w:t>
            </w:r>
          </w:p>
        </w:tc>
        <w:tc>
          <w:tcPr>
            <w:tcW w:w="216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$12k – $15k</w:t>
            </w:r>
          </w:p>
        </w:tc>
      </w:tr>
      <w:tr>
        <w:trPr/>
        <w:tc>
          <w:tcPr>
            <w:tcW w:w="409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QA + DevOps</w:t>
            </w:r>
          </w:p>
        </w:tc>
        <w:tc>
          <w:tcPr>
            <w:tcW w:w="9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300 h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35–45</w:t>
            </w:r>
          </w:p>
        </w:tc>
        <w:tc>
          <w:tcPr>
            <w:tcW w:w="216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$10k – $13k</w:t>
            </w:r>
          </w:p>
        </w:tc>
      </w:tr>
      <w:tr>
        <w:trPr/>
        <w:tc>
          <w:tcPr>
            <w:tcW w:w="409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Especialista legal/financiero (consultoría)</w:t>
            </w:r>
          </w:p>
        </w:tc>
        <w:tc>
          <w:tcPr>
            <w:tcW w:w="9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 h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50–70</w:t>
            </w:r>
          </w:p>
        </w:tc>
        <w:tc>
          <w:tcPr>
            <w:tcW w:w="216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$10k – $14k</w:t>
            </w:r>
          </w:p>
        </w:tc>
      </w:tr>
      <w:tr>
        <w:trPr/>
        <w:tc>
          <w:tcPr>
            <w:tcW w:w="4093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Total</w:t>
            </w:r>
          </w:p>
        </w:tc>
        <w:tc>
          <w:tcPr>
            <w:tcW w:w="965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~4,000 h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216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$173k – $226k USD</w:t>
            </w:r>
          </w:p>
        </w:tc>
      </w:tr>
    </w:tbl>
    <w:p>
      <w:pPr>
        <w:pStyle w:val="TextBody"/>
        <w:bidi w:val="0"/>
        <w:ind w:left="567" w:right="567" w:hanging="0"/>
        <w:jc w:val="left"/>
        <w:rPr/>
      </w:pPr>
      <w:r>
        <w:rPr>
          <w:sz w:val="22"/>
          <w:szCs w:val="22"/>
        </w:rPr>
        <w:t xml:space="preserve">💡 </w:t>
      </w:r>
      <w:r>
        <w:rPr>
          <w:rStyle w:val="StrongEmphasis"/>
          <w:b/>
          <w:sz w:val="22"/>
          <w:szCs w:val="22"/>
        </w:rPr>
        <w:t>En pesos argentinos (ARS):</w:t>
      </w:r>
      <w:r>
        <w:rPr>
          <w:sz w:val="22"/>
          <w:szCs w:val="22"/>
        </w:rPr>
        <w:br/>
        <w:t xml:space="preserve">Asumiendo una tasa de referencia no oficial de </w:t>
      </w:r>
      <w:r>
        <w:rPr>
          <w:rStyle w:val="StrongEmphasis"/>
          <w:b/>
          <w:sz w:val="22"/>
          <w:szCs w:val="22"/>
        </w:rPr>
        <w:t>1,200 ARS/USD</w:t>
      </w:r>
      <w:r>
        <w:rPr>
          <w:sz w:val="22"/>
          <w:szCs w:val="22"/>
        </w:rPr>
        <w:t xml:space="preserve">, el costo total rondaría entre </w:t>
      </w:r>
      <w:r>
        <w:rPr>
          <w:rStyle w:val="StrongEmphasis"/>
          <w:b/>
          <w:sz w:val="22"/>
          <w:szCs w:val="22"/>
        </w:rPr>
        <w:t>ARS 208 millones y ARS 271 millones</w:t>
      </w:r>
      <w:r>
        <w:rPr>
          <w:sz w:val="22"/>
          <w:szCs w:val="22"/>
        </w:rPr>
        <w:t>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/>
      </w:pPr>
      <w:r>
        <w:rPr>
          <w:sz w:val="22"/>
          <w:szCs w:val="22"/>
        </w:rPr>
        <w:t xml:space="preserve">🔑 </w:t>
      </w:r>
      <w:r>
        <w:rPr>
          <w:rStyle w:val="StrongEmphasis"/>
          <w:b/>
          <w:sz w:val="22"/>
          <w:szCs w:val="22"/>
        </w:rPr>
        <w:t>Diferenciales vs. sistema genérico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Este sistema </w:t>
      </w:r>
      <w:r>
        <w:rPr>
          <w:rStyle w:val="StrongEmphasis"/>
          <w:b/>
          <w:sz w:val="22"/>
          <w:szCs w:val="22"/>
        </w:rPr>
        <w:t>requiere lógica muy específica del mercado argentino</w:t>
      </w:r>
      <w:r>
        <w:rPr>
          <w:sz w:val="22"/>
          <w:szCs w:val="22"/>
        </w:rPr>
        <w:t>, como: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Manejo de múltiples monedas y ajustes (CER, dólar MEP, UVA)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sz w:val="22"/>
          <w:szCs w:val="22"/>
        </w:rPr>
        <w:t xml:space="preserve">Integración con </w:t>
      </w:r>
      <w:r>
        <w:rPr>
          <w:rStyle w:val="StrongEmphasis"/>
          <w:b/>
          <w:sz w:val="22"/>
          <w:szCs w:val="22"/>
        </w:rPr>
        <w:t>fideicomisos inmobiliarios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sz w:val="22"/>
          <w:szCs w:val="22"/>
        </w:rPr>
        <w:t xml:space="preserve">Gestión de </w:t>
      </w:r>
      <w:r>
        <w:rPr>
          <w:rStyle w:val="StrongEmphasis"/>
          <w:b/>
          <w:sz w:val="22"/>
          <w:szCs w:val="22"/>
        </w:rPr>
        <w:t>certificaciones de obra</w:t>
      </w:r>
      <w:r>
        <w:rPr>
          <w:sz w:val="22"/>
          <w:szCs w:val="22"/>
        </w:rPr>
        <w:t xml:space="preserve"> y pagos escalonados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sz w:val="22"/>
          <w:szCs w:val="22"/>
        </w:rPr>
        <w:t xml:space="preserve">Cálculo de </w:t>
      </w:r>
      <w:r>
        <w:rPr>
          <w:rStyle w:val="StrongEmphasis"/>
          <w:b/>
          <w:sz w:val="22"/>
          <w:szCs w:val="22"/>
        </w:rPr>
        <w:t>mora, intereses y rescisión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sz w:val="22"/>
          <w:szCs w:val="22"/>
        </w:rPr>
        <w:t xml:space="preserve">Normativa AFIP sobre </w:t>
      </w:r>
      <w:r>
        <w:rPr>
          <w:rStyle w:val="StrongEmphasis"/>
          <w:b/>
          <w:sz w:val="22"/>
          <w:szCs w:val="22"/>
        </w:rPr>
        <w:t>ventas a plazo y adelantos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sz w:val="22"/>
          <w:szCs w:val="22"/>
        </w:rPr>
        <w:t xml:space="preserve">Portal del comprador con </w:t>
      </w:r>
      <w:r>
        <w:rPr>
          <w:rStyle w:val="StrongEmphasis"/>
          <w:b/>
          <w:sz w:val="22"/>
          <w:szCs w:val="22"/>
        </w:rPr>
        <w:t>documentación legal actualizada</w:t>
      </w:r>
    </w:p>
    <w:p>
      <w:pPr>
        <w:pStyle w:val="TextBody"/>
        <w:bidi w:val="0"/>
        <w:jc w:val="left"/>
        <w:rPr/>
      </w:pPr>
      <w:r>
        <w:rPr>
          <w:sz w:val="22"/>
          <w:szCs w:val="22"/>
        </w:rPr>
        <w:t xml:space="preserve">Esto </w:t>
      </w:r>
      <w:r>
        <w:rPr>
          <w:rStyle w:val="StrongEmphasis"/>
          <w:b/>
          <w:sz w:val="22"/>
          <w:szCs w:val="22"/>
        </w:rPr>
        <w:t>aumenta significativamente</w:t>
      </w:r>
      <w:r>
        <w:rPr>
          <w:sz w:val="22"/>
          <w:szCs w:val="22"/>
        </w:rPr>
        <w:t xml:space="preserve"> la complejidad técnica y regulatoria frente a un CRM estándar.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/>
      </w:pPr>
      <w:r>
        <w:rPr>
          <w:sz w:val="22"/>
          <w:szCs w:val="22"/>
        </w:rPr>
        <w:t xml:space="preserve">✅ </w:t>
      </w:r>
      <w:r>
        <w:rPr>
          <w:rStyle w:val="StrongEmphasis"/>
          <w:b/>
          <w:sz w:val="22"/>
          <w:szCs w:val="22"/>
        </w:rPr>
        <w:t>Recomendaciones Estratégicas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Arrancá con el núcleo financiero + comercial (MVP en 4–5 meses)</w:t>
      </w:r>
      <w:r>
        <w:rPr>
          <w:sz w:val="22"/>
          <w:szCs w:val="22"/>
        </w:rPr>
        <w:br/>
        <w:t>Priorizá: leads → seguimiento → venta → registro financiero → flujo de caja → alertas. Esto ya da control operativo profundo.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Usá stack moderno pero estable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Front: React + TypeScript 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Backend: Node.js o Python (Django/FastAPI) 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Base: PostgreSQL + TimescaleDB (para series temporales) 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IA: LLM local (Llama 3, Mistral) + modelos predictivos (Prophet, XGBoost)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Certificá cumplimiento legal temprano</w:t>
      </w:r>
      <w:r>
        <w:rPr>
          <w:sz w:val="22"/>
          <w:szCs w:val="22"/>
        </w:rPr>
        <w:br/>
        <w:t>Involucrá un abogado inmobiliario y contador desde el diseño para evitar retrabajos.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Monetización potencial</w:t>
      </w:r>
      <w:r>
        <w:rPr>
          <w:sz w:val="22"/>
          <w:szCs w:val="22"/>
        </w:rPr>
        <w:br/>
        <w:t xml:space="preserve">Si el sistema se productiviza, puede ofrecerse como </w:t>
      </w:r>
      <w:r>
        <w:rPr>
          <w:rStyle w:val="StrongEmphasis"/>
          <w:b/>
          <w:sz w:val="22"/>
          <w:szCs w:val="22"/>
        </w:rPr>
        <w:t>SaaS a otros desarrolladores</w:t>
      </w:r>
      <w:r>
        <w:rPr>
          <w:sz w:val="22"/>
          <w:szCs w:val="22"/>
        </w:rPr>
        <w:t xml:space="preserve"> con planes de ARS 50k–200k/mes, generando ingresos recurrentes.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📌 </w:t>
      </w:r>
      <w:r>
        <w:rPr>
          <w:b/>
          <w:sz w:val="22"/>
          <w:szCs w:val="22"/>
        </w:rPr>
        <w:t>Conclusión Final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Inversión estimada:</w:t>
      </w:r>
      <w:r>
        <w:rPr>
          <w:sz w:val="22"/>
          <w:szCs w:val="22"/>
        </w:rPr>
        <w:t xml:space="preserve"> </w:t>
      </w:r>
      <w:r>
        <w:rPr>
          <w:rStyle w:val="StrongEmphasis"/>
          <w:b/>
          <w:sz w:val="22"/>
          <w:szCs w:val="22"/>
        </w:rPr>
        <w:t>USD 170k – 230k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Línea de tiempo:</w:t>
      </w:r>
      <w:r>
        <w:rPr>
          <w:sz w:val="22"/>
          <w:szCs w:val="22"/>
        </w:rPr>
        <w:t xml:space="preserve"> </w:t>
      </w:r>
      <w:r>
        <w:rPr>
          <w:rStyle w:val="StrongEmphasis"/>
          <w:b/>
          <w:sz w:val="22"/>
          <w:szCs w:val="22"/>
        </w:rPr>
        <w:t>8–12 meses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Valor generado: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sz w:val="22"/>
          <w:szCs w:val="22"/>
        </w:rPr>
        <w:t xml:space="preserve">Reducción del </w:t>
      </w:r>
      <w:r>
        <w:rPr>
          <w:rStyle w:val="StrongEmphasis"/>
          <w:b/>
          <w:sz w:val="22"/>
          <w:szCs w:val="22"/>
        </w:rPr>
        <w:t>costo por lead</w:t>
      </w:r>
      <w:r>
        <w:rPr>
          <w:sz w:val="22"/>
          <w:szCs w:val="22"/>
        </w:rPr>
        <w:t xml:space="preserve"> en 40–60%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sz w:val="22"/>
          <w:szCs w:val="22"/>
        </w:rPr>
        <w:t xml:space="preserve">Aumento de </w:t>
      </w:r>
      <w:r>
        <w:rPr>
          <w:rStyle w:val="StrongEmphasis"/>
          <w:b/>
          <w:sz w:val="22"/>
          <w:szCs w:val="22"/>
        </w:rPr>
        <w:t>conversión comercial</w:t>
      </w:r>
      <w:r>
        <w:rPr>
          <w:sz w:val="22"/>
          <w:szCs w:val="22"/>
        </w:rPr>
        <w:t xml:space="preserve"> en 20–35%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rStyle w:val="StrongEmphasis"/>
          <w:b/>
          <w:sz w:val="22"/>
          <w:szCs w:val="22"/>
        </w:rPr>
        <w:t>Protección de caja</w:t>
      </w:r>
      <w:r>
        <w:rPr>
          <w:sz w:val="22"/>
          <w:szCs w:val="22"/>
        </w:rPr>
        <w:t xml:space="preserve"> con alertas 60–90 días antes de descalces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>
          <w:rStyle w:val="StrongEmphasis"/>
          <w:b/>
          <w:sz w:val="22"/>
          <w:szCs w:val="22"/>
        </w:rPr>
        <w:t>Experiencia del comprador premium</w:t>
      </w:r>
      <w:r>
        <w:rPr>
          <w:sz w:val="22"/>
          <w:szCs w:val="22"/>
        </w:rPr>
        <w:t xml:space="preserve"> → más referidos, menos reclamos</w:t>
      </w:r>
    </w:p>
    <w:p>
      <w:pPr>
        <w:pStyle w:val="TextBody"/>
        <w:bidi w:val="0"/>
        <w:jc w:val="left"/>
        <w:rPr/>
      </w:pPr>
      <w:r>
        <w:rPr>
          <w:sz w:val="22"/>
          <w:szCs w:val="22"/>
        </w:rPr>
        <w:t xml:space="preserve">Este sistema no solo </w:t>
      </w:r>
      <w:r>
        <w:rPr>
          <w:rStyle w:val="StrongEmphasis"/>
          <w:b/>
          <w:sz w:val="22"/>
          <w:szCs w:val="22"/>
        </w:rPr>
        <w:t>optimiza operaciones</w:t>
      </w:r>
      <w:r>
        <w:rPr>
          <w:sz w:val="22"/>
          <w:szCs w:val="22"/>
        </w:rPr>
        <w:t xml:space="preserve">, sino que </w:t>
      </w:r>
      <w:r>
        <w:rPr>
          <w:rStyle w:val="StrongEmphasis"/>
          <w:b/>
          <w:sz w:val="22"/>
          <w:szCs w:val="22"/>
        </w:rPr>
        <w:t>convierte al desarrollador en una empresa predecible, escalable y atractiva para socios/inversores</w:t>
      </w:r>
      <w:r>
        <w:rPr>
          <w:sz w:val="22"/>
          <w:szCs w:val="22"/>
        </w:rPr>
        <w:t>.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3</Pages>
  <Words>774</Words>
  <Characters>4469</Characters>
  <CharactersWithSpaces>5103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2025-12-07T11:35:03Z</dcterms:created>
  <dc:creator/>
  <dc:description/>
  <dc:language>en-US</dc:language>
  <cp:lastModifiedBy/>
  <dcterms:modified xsi:type="dcterms:W3CDTF">2025-12-07T11:36:28Z</dcterms:modified>
  <cp:revision>1</cp:revision>
  <dc:subject/>
  <dc:title/>
</cp:coreProperties>
</file>