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jc w:val="left"/>
        <w:rPr>
          <w:rFonts w:ascii="Liberation Serif" w:hAnsi="Liberation Serif" w:eastAsia="Noto Serif CJK SC" w:cs="Lohit Devanagari"/>
          <w:b/>
          <w:b/>
          <w:bCs/>
          <w:sz w:val="36"/>
          <w:szCs w:val="36"/>
        </w:rPr>
      </w:pPr>
      <w:r>
        <w:rPr>
          <w:rFonts w:eastAsia="Noto Serif CJK SC" w:cs="Lohit Devanagari"/>
          <w:b/>
          <w:bCs/>
          <w:sz w:val="36"/>
          <w:szCs w:val="36"/>
        </w:rPr>
        <w:t>Análisis de Viabilidad Comercial y Financiera</w:t>
      </w:r>
    </w:p>
    <w:p>
      <w:pPr>
        <w:pStyle w:val="TextBody"/>
        <w:bidi w:val="0"/>
        <w:jc w:val="left"/>
        <w:rPr>
          <w:rFonts w:ascii="Liberation Serif" w:hAnsi="Liberation Serif" w:eastAsia="Noto Serif CJK SC" w:cs="Lohit Devanagari"/>
          <w:b/>
          <w:b/>
          <w:bCs/>
          <w:sz w:val="36"/>
          <w:szCs w:val="36"/>
        </w:rPr>
      </w:pPr>
      <w:r>
        <w:rPr>
          <w:rFonts w:eastAsia="Noto Serif CJK SC" w:cs="Lohit Devanagari"/>
          <w:b/>
          <w:bCs/>
          <w:sz w:val="36"/>
          <w:szCs w:val="36"/>
        </w:rPr>
        <w:t>de Vertice360 para el Mercado LATAM</w:t>
      </w:r>
    </w:p>
    <w:p>
      <w:pPr>
        <w:pStyle w:val="Heading2"/>
        <w:bidi w:val="0"/>
        <w:jc w:val="left"/>
        <w:rPr/>
      </w:pPr>
      <w:r>
        <w:rPr/>
        <w:t>1. Resumen ejecutivo</w:t>
      </w:r>
    </w:p>
    <w:p>
      <w:pPr>
        <w:pStyle w:val="TextBody"/>
        <w:spacing w:after="0" w:before="0" w:line="240" w:lineRule="auto"/>
      </w:pPr>
      <w:r>
        <w:t>Vertice360 es una plataforma white label para vender y gestionar emprendimientos en pozo, con foco en: (1) asistente de ventas en tiempo real, (2) portal conversacional para inversores y (3) control centralizado para dirección. Implementación rápida (48 h) para bajar fricción.</w:t>
      </w:r>
    </w:p>
    <w:p>
      <w:pPr>
        <w:pStyle w:val="TextBody"/>
        <w:spacing w:after="0" w:before="0" w:line="240" w:lineRule="auto"/>
      </w:pPr>
      <w:r>
        <w:t>Contexto y oportunidad (LATAM):</w:t>
      </w:r>
    </w:p>
    <w:p>
      <w:pPr>
        <w:pStyle w:val="TextBody"/>
        <w:spacing w:after="0" w:before="0" w:line="240" w:lineRule="auto"/>
      </w:pPr>
      <w:r>
        <w:t>• Mercado inmobiliario: ~USD 478,4 mil millones en 2024 y proyección ~USD 984,5 mil millones a 2033 (Market Data Forecast, 2025).</w:t>
      </w:r>
    </w:p>
    <w:p>
      <w:pPr>
        <w:pStyle w:val="TextBody"/>
        <w:spacing w:after="0" w:before="0" w:line="240" w:lineRule="auto"/>
      </w:pPr>
      <w:r>
        <w:t>• Residencial: ~USD 243,1 mil millones en 2025; CAGR 5,42% 2026-2031 (Mordor Intelligence, 2026).</w:t>
      </w:r>
    </w:p>
    <w:p>
      <w:pPr>
        <w:pStyle w:val="TextBody"/>
        <w:spacing w:after="0" w:before="0" w:line="240" w:lineRule="auto"/>
      </w:pPr>
      <w:r>
        <w:t>• Drivers: déficit habitacional alto (IDB / Housing Forum, 2022) + adopción mobile/WhatsApp como canal de operación (GSMA, 2024; DataReportal, 2025).</w:t>
      </w:r>
    </w:p>
    <w:p>
      <w:pPr>
        <w:pStyle w:val="TextBody"/>
        <w:spacing w:after="0" w:before="0" w:line="240" w:lineRule="auto"/>
      </w:pPr>
      <w:r>
        <w:t>Lanzamiento: abril 2026. Feb-Mar 2026: 2-3 pilotos con métricas (conversión, devoluciones, horas de soporte). May-Dic 2026: expansión a primeras cuentas regionales con casos de éxito.</w:t>
      </w:r>
    </w:p>
    <w:p>
      <w:pPr>
        <w:pStyle w:val="TextBody"/>
        <w:spacing w:after="0" w:before="0" w:line="240" w:lineRule="auto"/>
      </w:pPr>
      <w:r>
        <w:t>Proyección 2026-2028 (mínimo vs máximo):</w:t>
      </w:r>
    </w:p>
    <w:tbl>
      <w:tblPr>
        <w:tblW w:type="auto" w:w="0"/>
        <w:tblLook w:firstColumn="1" w:firstRow="1" w:lastColumn="0" w:lastRow="0" w:noHBand="0" w:noVBand="1" w:val="04A0"/>
      </w:tblPr>
      <w:tblGrid>
        <w:gridCol w:w="2493"/>
        <w:gridCol w:w="2493"/>
        <w:gridCol w:w="2493"/>
        <w:gridCol w:w="2493"/>
      </w:tblGrid>
      <w:tr>
        <w:tc>
          <w:tcPr>
            <w:tcW w:type="dxa" w:w="2493"/>
          </w:tcPr>
          <w:p>
            <w:pPr>
              <w:spacing w:after="0" w:before="0" w:line="240" w:lineRule="auto"/>
            </w:pPr>
            <w:r>
              <w:rPr>
                <w:sz w:val="18"/>
              </w:rPr>
              <w:t>Año</w:t>
            </w:r>
          </w:p>
        </w:tc>
        <w:tc>
          <w:tcPr>
            <w:tcW w:type="dxa" w:w="2493"/>
          </w:tcPr>
          <w:p>
            <w:pPr>
              <w:spacing w:after="0" w:before="0" w:line="240" w:lineRule="auto"/>
            </w:pPr>
            <w:r>
              <w:rPr>
                <w:sz w:val="18"/>
              </w:rPr>
              <w:t>Clientes (Min-Max)</w:t>
            </w:r>
          </w:p>
        </w:tc>
        <w:tc>
          <w:tcPr>
            <w:tcW w:type="dxa" w:w="2493"/>
          </w:tcPr>
          <w:p>
            <w:pPr>
              <w:spacing w:after="0" w:before="0" w:line="240" w:lineRule="auto"/>
            </w:pPr>
            <w:r>
              <w:rPr>
                <w:sz w:val="18"/>
              </w:rPr>
              <w:t>Ingresos del año (Min-Max)</w:t>
            </w:r>
          </w:p>
        </w:tc>
        <w:tc>
          <w:tcPr>
            <w:tcW w:type="dxa" w:w="2493"/>
          </w:tcPr>
          <w:p>
            <w:pPr>
              <w:spacing w:after="0" w:before="0" w:line="240" w:lineRule="auto"/>
            </w:pPr>
            <w:r>
              <w:rPr>
                <w:sz w:val="18"/>
              </w:rPr>
              <w:t>ARR fin de año (Min-Max)</w:t>
            </w:r>
          </w:p>
        </w:tc>
      </w:tr>
      <w:tr>
        <w:tc>
          <w:tcPr>
            <w:tcW w:type="dxa" w:w="2493"/>
          </w:tcPr>
          <w:p>
            <w:pPr>
              <w:spacing w:after="0" w:before="0" w:line="240" w:lineRule="auto"/>
            </w:pPr>
            <w:r>
              <w:rPr>
                <w:sz w:val="18"/>
              </w:rPr>
              <w:t>2026</w:t>
            </w:r>
          </w:p>
        </w:tc>
        <w:tc>
          <w:tcPr>
            <w:tcW w:type="dxa" w:w="2493"/>
          </w:tcPr>
          <w:p>
            <w:pPr>
              <w:spacing w:after="0" w:before="0" w:line="240" w:lineRule="auto"/>
            </w:pPr>
            <w:r>
              <w:rPr>
                <w:sz w:val="18"/>
              </w:rPr>
              <w:t>10 - 25</w:t>
            </w:r>
          </w:p>
        </w:tc>
        <w:tc>
          <w:tcPr>
            <w:tcW w:type="dxa" w:w="2493"/>
          </w:tcPr>
          <w:p>
            <w:pPr>
              <w:spacing w:after="0" w:before="0" w:line="240" w:lineRule="auto"/>
            </w:pPr>
            <w:r>
              <w:rPr>
                <w:sz w:val="18"/>
              </w:rPr>
              <w:t>USD 45.450 - USD 157.325</w:t>
            </w:r>
          </w:p>
        </w:tc>
        <w:tc>
          <w:tcPr>
            <w:tcW w:type="dxa" w:w="2493"/>
          </w:tcPr>
          <w:p>
            <w:pPr>
              <w:spacing w:after="0" w:before="0" w:line="240" w:lineRule="auto"/>
            </w:pPr>
            <w:r>
              <w:rPr>
                <w:sz w:val="18"/>
              </w:rPr>
              <w:t>USD 49.200 - USD 166.200</w:t>
            </w:r>
          </w:p>
        </w:tc>
      </w:tr>
      <w:tr>
        <w:tc>
          <w:tcPr>
            <w:tcW w:type="dxa" w:w="2493"/>
          </w:tcPr>
          <w:p>
            <w:pPr>
              <w:spacing w:after="0" w:before="0" w:line="240" w:lineRule="auto"/>
            </w:pPr>
            <w:r>
              <w:rPr>
                <w:sz w:val="18"/>
              </w:rPr>
              <w:t>2027</w:t>
            </w:r>
          </w:p>
        </w:tc>
        <w:tc>
          <w:tcPr>
            <w:tcW w:type="dxa" w:w="2493"/>
          </w:tcPr>
          <w:p>
            <w:pPr>
              <w:spacing w:after="0" w:before="0" w:line="240" w:lineRule="auto"/>
            </w:pPr>
            <w:r>
              <w:rPr>
                <w:sz w:val="18"/>
              </w:rPr>
              <w:t>37 - 90</w:t>
            </w:r>
          </w:p>
        </w:tc>
        <w:tc>
          <w:tcPr>
            <w:tcW w:type="dxa" w:w="2493"/>
          </w:tcPr>
          <w:p>
            <w:pPr>
              <w:spacing w:after="0" w:before="0" w:line="240" w:lineRule="auto"/>
            </w:pPr>
            <w:r>
              <w:rPr>
                <w:sz w:val="18"/>
              </w:rPr>
              <w:t>USD 253.000 - USD 698.100</w:t>
            </w:r>
          </w:p>
        </w:tc>
        <w:tc>
          <w:tcPr>
            <w:tcW w:type="dxa" w:w="2493"/>
          </w:tcPr>
          <w:p>
            <w:pPr>
              <w:spacing w:after="0" w:before="0" w:line="240" w:lineRule="auto"/>
            </w:pPr>
            <w:r>
              <w:rPr>
                <w:sz w:val="18"/>
              </w:rPr>
              <w:t>USD 250.800 - USD 660.000</w:t>
            </w:r>
          </w:p>
        </w:tc>
      </w:tr>
      <w:tr>
        <w:tc>
          <w:tcPr>
            <w:tcW w:type="dxa" w:w="2493"/>
          </w:tcPr>
          <w:p>
            <w:pPr>
              <w:spacing w:after="0" w:before="0" w:line="240" w:lineRule="auto"/>
            </w:pPr>
            <w:r>
              <w:rPr>
                <w:sz w:val="18"/>
              </w:rPr>
              <w:t>2028</w:t>
            </w:r>
          </w:p>
        </w:tc>
        <w:tc>
          <w:tcPr>
            <w:tcW w:type="dxa" w:w="2493"/>
          </w:tcPr>
          <w:p>
            <w:pPr>
              <w:spacing w:after="0" w:before="0" w:line="240" w:lineRule="auto"/>
            </w:pPr>
            <w:r>
              <w:rPr>
                <w:sz w:val="18"/>
              </w:rPr>
              <w:t>72 - 180</w:t>
            </w:r>
          </w:p>
        </w:tc>
        <w:tc>
          <w:tcPr>
            <w:tcW w:type="dxa" w:w="2493"/>
          </w:tcPr>
          <w:p>
            <w:pPr>
              <w:spacing w:after="0" w:before="0" w:line="240" w:lineRule="auto"/>
            </w:pPr>
            <w:r>
              <w:rPr>
                <w:sz w:val="18"/>
              </w:rPr>
              <w:t>USD 534.400 - USD 1.408.000</w:t>
            </w:r>
          </w:p>
        </w:tc>
        <w:tc>
          <w:tcPr>
            <w:tcW w:type="dxa" w:w="2493"/>
          </w:tcPr>
          <w:p>
            <w:pPr>
              <w:spacing w:after="0" w:before="0" w:line="240" w:lineRule="auto"/>
            </w:pPr>
            <w:r>
              <w:rPr>
                <w:sz w:val="18"/>
              </w:rPr>
              <w:t>USD 516.000 - USD 1.356.000</w:t>
            </w:r>
          </w:p>
        </w:tc>
      </w:tr>
    </w:tbl>
    <w:p>
      <w:pPr>
        <w:pStyle w:val="Heading2"/>
        <w:bidi w:val="0"/>
        <w:jc w:val="left"/>
        <w:rPr/>
      </w:pPr>
      <w:r>
        <w:rPr/>
        <w:t>2. Mercado y contexto en LATAM</w:t>
      </w:r>
    </w:p>
    <w:p>
      <w:pPr>
        <w:pStyle w:val="Heading3"/>
        <w:bidi w:val="0"/>
        <w:jc w:val="left"/>
        <w:rPr/>
      </w:pPr>
      <w:r>
        <w:rPr/>
        <w:t>2.1 Tamaño y tendencias</w:t>
      </w:r>
    </w:p>
    <w:p>
      <w:pPr>
        <w:pStyle w:val="TextBody"/>
        <w:numPr>
          <w:ilvl w:val="0"/>
          <w:numId w:val="7"/>
        </w:numPr>
        <w:tabs>
          <w:tab w:val="clear" w:pos="709"/>
          <w:tab w:val="left" w:pos="707" w:leader="none"/>
        </w:tabs>
        <w:bidi w:val="0"/>
        <w:ind w:left="707" w:hanging="283"/>
        <w:jc w:val="left"/>
        <w:rPr/>
      </w:pPr>
      <w:r/>
      <w:r>
        <w:t>El mercado inmobiliario total en LATAM se estimó en USD 478,4 mil millones en 2024 y se proyecta en USD 984,5 mil millones hacia 2033 (Market Data Forecast, 2025).</w:t>
      </w:r>
    </w:p>
    <w:p>
      <w:pPr>
        <w:pStyle w:val="TextBody"/>
        <w:numPr>
          <w:ilvl w:val="0"/>
          <w:numId w:val="7"/>
        </w:numPr>
        <w:tabs>
          <w:tab w:val="clear" w:pos="709"/>
          <w:tab w:val="left" w:pos="707" w:leader="none"/>
        </w:tabs>
        <w:bidi w:val="0"/>
        <w:ind w:left="707" w:hanging="283"/>
        <w:jc w:val="left"/>
        <w:rPr/>
      </w:pPr>
      <w:r/>
      <w:r>
        <w:t>El mercado inmobiliario residencial de LATAM se valoró en USD 243,1 mil millones en 2025 y se proyecta en USD 333,4 mil millones para 2031 (CAGR 5,42% 2026-2031) (Mordor Intelligence, 2026).</w:t>
      </w:r>
    </w:p>
    <w:p>
      <w:pPr>
        <w:pStyle w:val="TextBody"/>
        <w:numPr>
          <w:ilvl w:val="0"/>
          <w:numId w:val="7"/>
        </w:numPr>
        <w:tabs>
          <w:tab w:val="clear" w:pos="709"/>
          <w:tab w:val="left" w:pos="707" w:leader="none"/>
        </w:tabs>
        <w:bidi w:val="0"/>
        <w:ind w:left="707" w:hanging="283"/>
        <w:jc w:val="left"/>
        <w:rPr/>
      </w:pPr>
      <w:r>
        <w:rPr/>
        <w:t xml:space="preserve">Reportes de proptech en la región señalan una </w:t>
      </w:r>
      <w:r>
        <w:rPr>
          <w:rStyle w:val="StrongEmphasis"/>
        </w:rPr>
        <w:t>ola de digitalización pendiente</w:t>
      </w:r>
      <w:r>
        <w:rPr/>
        <w:t>: mucha transacción, pero procesos aún muy analógicos (Excel, WhatsApp, mails), lo que genera fricción justamente en “ventas en pozo”, donde hay más complejidad de planes de pago, hitos de obra, etc.</w:t>
      </w:r>
      <w:hyperlink r:id="rId5" w:tgtFrame="_blank">
        <w:r>
          <w:rPr>
            <w:rStyle w:val="InternetLink"/>
          </w:rPr>
          <w:t>PropTech Latam Summit Week 2025</w:t>
        </w:r>
      </w:hyperlink>
    </w:p>
    <w:p>
      <w:pPr>
        <w:pStyle w:val="TextBody"/>
        <w:bidi w:val="0"/>
        <w:jc w:val="left"/>
        <w:rPr/>
      </w:pPr>
      <w:r>
        <w:rPr/>
        <w:t xml:space="preserve">En ese contexto, la hipótesis de que </w:t>
      </w:r>
      <w:r>
        <w:rPr>
          <w:rStyle w:val="StrongEmphasis"/>
        </w:rPr>
        <w:t>USD 150.000 M anuales en pozo</w:t>
      </w:r>
      <w:r>
        <w:rPr/>
        <w:t xml:space="preserve"> y un </w:t>
      </w:r>
      <w:r>
        <w:rPr>
          <w:rStyle w:val="StrongEmphasis"/>
        </w:rPr>
        <w:t>35 % sin software dedicado</w:t>
      </w:r>
      <w:r>
        <w:rPr/>
        <w:t xml:space="preserve"> no sólo es plausible, sino consistente con lo que muestran los estudios de digitalización inmobiliaria.</w:t>
      </w:r>
    </w:p>
    <w:p>
      <w:pPr>
        <w:pStyle w:val="Heading3"/>
        <w:bidi w:val="0"/>
        <w:jc w:val="left"/>
        <w:rPr/>
      </w:pPr>
      <w:r>
        <w:rPr/>
        <w:t>2.2 Dolor específico “en pozo”</w:t>
      </w:r>
    </w:p>
    <w:p>
      <w:pPr>
        <w:pStyle w:val="TextBody"/>
        <w:bidi w:val="0"/>
        <w:spacing w:lineRule="auto" w:line="276" w:before="0" w:after="140"/>
        <w:jc w:val="left"/>
        <w:rPr/>
      </w:pPr>
      <w:r>
        <w:rPr/>
        <w:t>Del documento de Vertice360 se ve muy claro el pain:</w:t>
      </w:r>
    </w:p>
    <w:p>
      <w:pPr>
        <w:pStyle w:val="TextBody"/>
        <w:numPr>
          <w:ilvl w:val="0"/>
          <w:numId w:val="8"/>
        </w:numPr>
        <w:tabs>
          <w:tab w:val="clear" w:pos="709"/>
          <w:tab w:val="left" w:pos="707" w:leader="none"/>
        </w:tabs>
        <w:bidi w:val="0"/>
        <w:ind w:left="707" w:hanging="283"/>
        <w:jc w:val="left"/>
        <w:rPr/>
      </w:pPr>
      <w:r>
        <w:rPr/>
        <w:t>Múltiples Excels por proyecto (unidades, precios, cronograma).</w:t>
      </w:r>
    </w:p>
    <w:p>
      <w:pPr>
        <w:pStyle w:val="TextBody"/>
        <w:numPr>
          <w:ilvl w:val="0"/>
          <w:numId w:val="8"/>
        </w:numPr>
        <w:tabs>
          <w:tab w:val="clear" w:pos="709"/>
          <w:tab w:val="left" w:pos="707" w:leader="none"/>
        </w:tabs>
        <w:bidi w:val="0"/>
        <w:ind w:left="707" w:hanging="283"/>
        <w:jc w:val="left"/>
        <w:rPr/>
      </w:pPr>
      <w:r>
        <w:rPr/>
        <w:t>Equipos preguntando todo el tiempo “¿esta unidad sigue disponible?”.</w:t>
      </w:r>
    </w:p>
    <w:p>
      <w:pPr>
        <w:pStyle w:val="TextBody"/>
        <w:numPr>
          <w:ilvl w:val="0"/>
          <w:numId w:val="8"/>
        </w:numPr>
        <w:tabs>
          <w:tab w:val="clear" w:pos="709"/>
          <w:tab w:val="left" w:pos="707" w:leader="none"/>
        </w:tabs>
        <w:bidi w:val="0"/>
        <w:ind w:left="707" w:hanging="283"/>
        <w:jc w:val="left"/>
        <w:rPr/>
      </w:pPr>
      <w:r>
        <w:rPr/>
        <w:t>Inversores que llaman para saber “cuánto pagué y cuánto falta”, “cómo viene la obra”.</w:t>
      </w:r>
    </w:p>
    <w:p>
      <w:pPr>
        <w:pStyle w:val="TextBody"/>
        <w:numPr>
          <w:ilvl w:val="0"/>
          <w:numId w:val="8"/>
        </w:numPr>
        <w:tabs>
          <w:tab w:val="clear" w:pos="709"/>
          <w:tab w:val="left" w:pos="707" w:leader="none"/>
        </w:tabs>
        <w:bidi w:val="0"/>
        <w:ind w:left="707" w:hanging="283"/>
        <w:jc w:val="left"/>
        <w:rPr/>
      </w:pPr>
      <w:r>
        <w:rPr/>
        <w:t>Directores sin foto consolidada de ventas, stock y avance.</w:t>
      </w:r>
    </w:p>
    <w:p>
      <w:pPr>
        <w:pStyle w:val="TextBody"/>
        <w:bidi w:val="0"/>
        <w:jc w:val="left"/>
        <w:rPr/>
      </w:pPr>
      <w:r>
        <w:rPr>
          <w:rStyle w:val="StrongEmphasis"/>
        </w:rPr>
        <w:t>Conclusión de mercado:</w:t>
      </w:r>
      <w:r>
        <w:rPr/>
        <w:br/>
        <w:t>Hay un nicho bien definido (emprendimientos en pozo) dentro de un mercado enorme, con mucho dolor real y baja penetración de soluciones verticales. Es exactamente el tipo de segmento donde un SaaS especializado + AI puede capturar 1–5 % de market share si ejecuta bien.</w:t>
      </w:r>
    </w:p>
    <w:p>
      <w:pPr>
        <w:pStyle w:val="HorizontalLine"/>
        <w:suppressLineNumbers/>
        <w:pBdr>
          <w:bottom w:val="double" w:sz="2" w:space="0" w:color="808080"/>
        </w:pBdr>
        <w:bidi w:val="0"/>
        <w:spacing w:before="0" w:after="283"/>
        <w:jc w:val="left"/>
        <w:rPr/>
      </w:pPr>
      <w:r>
        <w:rPr/>
      </w:r>
    </w:p>
    <w:p>
      <w:pPr>
        <w:pStyle w:val="Heading2"/>
        <w:bidi w:val="0"/>
        <w:jc w:val="left"/>
        <w:rPr/>
      </w:pPr>
      <w:r>
        <w:rPr/>
        <w:t>3. Ventajas para el cliente (propuesta de valor)</w:t>
      </w:r>
    </w:p>
    <w:p>
      <w:pPr>
        <w:pStyle w:val="TextBody"/>
        <w:bidi w:val="0"/>
        <w:spacing w:lineRule="auto" w:line="276" w:before="0" w:after="140"/>
        <w:jc w:val="left"/>
        <w:rPr/>
      </w:pPr>
      <w:r>
        <w:rPr/>
        <w:t>La propuesta está muy bien articulada en el doc de “Ventas en pozo sin fricción”.</w:t>
      </w:r>
    </w:p>
    <w:p>
      <w:pPr>
        <w:pStyle w:val="TextBody"/>
        <w:bidi w:val="0"/>
        <w:spacing w:lineRule="auto" w:line="276" w:before="0" w:after="140"/>
        <w:jc w:val="left"/>
        <w:rPr/>
      </w:pPr>
      <w:r>
        <w:rPr/>
        <w:t>La traduzco a ventajas concretas y medibles para cada actor.</w:t>
      </w:r>
    </w:p>
    <w:p>
      <w:pPr>
        <w:pStyle w:val="Heading3"/>
        <w:bidi w:val="0"/>
        <w:jc w:val="left"/>
        <w:rPr/>
      </w:pPr>
      <w:r>
        <w:rPr/>
        <w:t>3.1 Para desarrolladoras / fideicomisos</w:t>
      </w:r>
    </w:p>
    <w:p>
      <w:pPr>
        <w:pStyle w:val="TextBody"/>
        <w:numPr>
          <w:ilvl w:val="0"/>
          <w:numId w:val="9"/>
        </w:numPr>
        <w:tabs>
          <w:tab w:val="clear" w:pos="709"/>
          <w:tab w:val="left" w:pos="707" w:leader="none"/>
        </w:tabs>
        <w:bidi w:val="0"/>
        <w:ind w:left="707" w:hanging="283"/>
        <w:jc w:val="left"/>
        <w:rPr/>
      </w:pPr>
      <w:r>
        <w:rPr>
          <w:rStyle w:val="StrongEmphasis"/>
        </w:rPr>
        <w:t>Más ventas nuevas, mejor trabajadas</w:t>
      </w:r>
    </w:p>
    <w:p>
      <w:pPr>
        <w:pStyle w:val="TextBody"/>
        <w:numPr>
          <w:ilvl w:val="1"/>
          <w:numId w:val="9"/>
        </w:numPr>
        <w:tabs>
          <w:tab w:val="clear" w:pos="709"/>
          <w:tab w:val="left" w:pos="1414" w:leader="none"/>
        </w:tabs>
        <w:bidi w:val="0"/>
        <w:ind w:left="1414" w:hanging="283"/>
        <w:jc w:val="left"/>
        <w:rPr/>
      </w:pPr>
      <w:r>
        <w:rPr/>
        <w:t>Lead capture inteligente desde web/campañas: califica por monto, zona, plazo.</w:t>
      </w:r>
    </w:p>
    <w:p>
      <w:pPr>
        <w:pStyle w:val="TextBody"/>
        <w:numPr>
          <w:ilvl w:val="1"/>
          <w:numId w:val="9"/>
        </w:numPr>
        <w:tabs>
          <w:tab w:val="clear" w:pos="709"/>
          <w:tab w:val="left" w:pos="1414" w:leader="none"/>
        </w:tabs>
        <w:bidi w:val="0"/>
        <w:ind w:left="1414" w:hanging="283"/>
        <w:jc w:val="left"/>
        <w:rPr/>
      </w:pPr>
      <w:r>
        <w:rPr/>
        <w:t>Asigna al vendedor correcto con ficha ya organizada.</w:t>
      </w:r>
    </w:p>
    <w:p>
      <w:pPr>
        <w:pStyle w:val="TextBody"/>
        <w:numPr>
          <w:ilvl w:val="1"/>
          <w:numId w:val="9"/>
        </w:numPr>
        <w:tabs>
          <w:tab w:val="clear" w:pos="709"/>
          <w:tab w:val="left" w:pos="1414" w:leader="none"/>
        </w:tabs>
        <w:bidi w:val="0"/>
        <w:ind w:left="1414" w:hanging="283"/>
        <w:jc w:val="left"/>
        <w:rPr/>
      </w:pPr>
      <w:r>
        <w:rPr/>
        <w:t>Reduce “leads fríos” con recordatorios de seguimiento.</w:t>
      </w:r>
    </w:p>
    <w:p>
      <w:pPr>
        <w:pStyle w:val="TextBody"/>
        <w:numPr>
          <w:ilvl w:val="0"/>
          <w:numId w:val="9"/>
        </w:numPr>
        <w:tabs>
          <w:tab w:val="clear" w:pos="709"/>
          <w:tab w:val="left" w:pos="707" w:leader="none"/>
        </w:tabs>
        <w:bidi w:val="0"/>
        <w:ind w:left="707" w:hanging="283"/>
        <w:jc w:val="left"/>
        <w:rPr/>
      </w:pPr>
      <w:r>
        <w:rPr>
          <w:rStyle w:val="StrongEmphasis"/>
        </w:rPr>
        <w:t>Menos devoluciones y más control de unidades</w:t>
      </w:r>
    </w:p>
    <w:p>
      <w:pPr>
        <w:pStyle w:val="TextBody"/>
        <w:numPr>
          <w:ilvl w:val="1"/>
          <w:numId w:val="9"/>
        </w:numPr>
        <w:tabs>
          <w:tab w:val="clear" w:pos="709"/>
          <w:tab w:val="left" w:pos="1414" w:leader="none"/>
        </w:tabs>
        <w:bidi w:val="0"/>
        <w:ind w:left="1414" w:hanging="283"/>
        <w:jc w:val="left"/>
        <w:rPr/>
      </w:pPr>
      <w:r>
        <w:rPr/>
        <w:t>Disponibilidad siempre actualizada.</w:t>
      </w:r>
    </w:p>
    <w:p>
      <w:pPr>
        <w:pStyle w:val="TextBody"/>
        <w:numPr>
          <w:ilvl w:val="1"/>
          <w:numId w:val="9"/>
        </w:numPr>
        <w:tabs>
          <w:tab w:val="clear" w:pos="709"/>
          <w:tab w:val="left" w:pos="1414" w:leader="none"/>
        </w:tabs>
        <w:bidi w:val="0"/>
        <w:ind w:left="1414" w:hanging="283"/>
        <w:jc w:val="left"/>
        <w:rPr/>
      </w:pPr>
      <w:r>
        <w:rPr/>
        <w:t>Menos errores humanos en “venta de unidad que ya estaba reservada”.</w:t>
      </w:r>
    </w:p>
    <w:p>
      <w:pPr>
        <w:pStyle w:val="TextBody"/>
        <w:numPr>
          <w:ilvl w:val="0"/>
          <w:numId w:val="9"/>
        </w:numPr>
        <w:tabs>
          <w:tab w:val="clear" w:pos="709"/>
          <w:tab w:val="left" w:pos="707" w:leader="none"/>
        </w:tabs>
        <w:bidi w:val="0"/>
        <w:ind w:left="707" w:hanging="283"/>
        <w:jc w:val="left"/>
        <w:rPr/>
      </w:pPr>
      <w:r>
        <w:rPr>
          <w:rStyle w:val="StrongEmphasis"/>
        </w:rPr>
        <w:t>Mejor relación con inversores</w:t>
      </w:r>
    </w:p>
    <w:p>
      <w:pPr>
        <w:pStyle w:val="TextBody"/>
        <w:numPr>
          <w:ilvl w:val="1"/>
          <w:numId w:val="9"/>
        </w:numPr>
        <w:tabs>
          <w:tab w:val="clear" w:pos="709"/>
          <w:tab w:val="left" w:pos="1414" w:leader="none"/>
        </w:tabs>
        <w:bidi w:val="0"/>
        <w:ind w:left="1414" w:hanging="283"/>
        <w:jc w:val="left"/>
        <w:rPr/>
      </w:pPr>
      <w:r>
        <w:rPr/>
        <w:t>Menos llamados repetidos.</w:t>
      </w:r>
    </w:p>
    <w:p>
      <w:pPr>
        <w:pStyle w:val="TextBody"/>
        <w:numPr>
          <w:ilvl w:val="1"/>
          <w:numId w:val="9"/>
        </w:numPr>
        <w:tabs>
          <w:tab w:val="clear" w:pos="709"/>
          <w:tab w:val="left" w:pos="1414" w:leader="none"/>
        </w:tabs>
        <w:bidi w:val="0"/>
        <w:ind w:left="1414" w:hanging="283"/>
        <w:jc w:val="left"/>
        <w:rPr/>
      </w:pPr>
      <w:r>
        <w:rPr/>
        <w:t>Mayor percepción de profesionalismo.</w:t>
      </w:r>
    </w:p>
    <w:p>
      <w:pPr>
        <w:pStyle w:val="TextBody"/>
        <w:bidi w:val="0"/>
        <w:jc w:val="left"/>
        <w:rPr/>
      </w:pPr>
      <w:r>
        <w:rPr/>
        <w:t>Ejemplo financiero interno que ustedes plantean:</w:t>
        <w:br/>
        <w:t>“Salvamos 15 k USD por devolución cobrando solo 3 k USD; ROI 10× en 60 días.”</w:t>
      </w:r>
    </w:p>
    <w:p>
      <w:pPr>
        <w:pStyle w:val="TextBody"/>
        <w:bidi w:val="0"/>
        <w:spacing w:lineRule="auto" w:line="276" w:before="0" w:after="140"/>
        <w:jc w:val="left"/>
        <w:rPr/>
      </w:pPr>
      <w:r>
        <w:rPr/>
        <w:br/>
        <w:t>Si ustedes logran validar esto con 2–3 casos reales, ese caso de uso vende solo.</w:t>
      </w:r>
    </w:p>
    <w:p>
      <w:pPr>
        <w:pStyle w:val="Heading3"/>
        <w:bidi w:val="0"/>
        <w:jc w:val="left"/>
        <w:rPr/>
      </w:pPr>
      <w:r>
        <w:rPr/>
        <w:t>3.2 Para redes inmobiliarias/</w:t>
      </w:r>
      <w:r>
        <w:rPr/>
        <w:t>desarrolladoras</w:t>
      </w:r>
    </w:p>
    <w:p>
      <w:pPr>
        <w:pStyle w:val="TextBody"/>
        <w:numPr>
          <w:ilvl w:val="0"/>
          <w:numId w:val="10"/>
        </w:numPr>
        <w:tabs>
          <w:tab w:val="clear" w:pos="709"/>
          <w:tab w:val="left" w:pos="707" w:leader="none"/>
        </w:tabs>
        <w:bidi w:val="0"/>
        <w:ind w:left="707" w:hanging="283"/>
        <w:jc w:val="left"/>
        <w:rPr/>
      </w:pPr>
      <w:r>
        <w:rPr>
          <w:rStyle w:val="StrongEmphasis"/>
        </w:rPr>
        <w:t>Asistente de ventas en vivo</w:t>
      </w:r>
      <w:r>
        <w:rPr/>
        <w:br/>
        <w:t>El vendedor pregunta en lenguaje natural, obtiene en segundos:</w:t>
      </w:r>
    </w:p>
    <w:p>
      <w:pPr>
        <w:pStyle w:val="TextBody"/>
        <w:numPr>
          <w:ilvl w:val="1"/>
          <w:numId w:val="10"/>
        </w:numPr>
        <w:tabs>
          <w:tab w:val="clear" w:pos="709"/>
          <w:tab w:val="left" w:pos="1414" w:leader="none"/>
        </w:tabs>
        <w:bidi w:val="0"/>
        <w:ind w:left="1414" w:hanging="283"/>
        <w:jc w:val="left"/>
        <w:rPr/>
      </w:pPr>
      <w:r>
        <w:rPr/>
        <w:t>Unidades que encajan con filtros complejos (precio, m², tipología, entrega, zona).</w:t>
      </w:r>
    </w:p>
    <w:p>
      <w:pPr>
        <w:pStyle w:val="TextBody"/>
        <w:numPr>
          <w:ilvl w:val="1"/>
          <w:numId w:val="10"/>
        </w:numPr>
        <w:tabs>
          <w:tab w:val="clear" w:pos="709"/>
          <w:tab w:val="left" w:pos="1414" w:leader="none"/>
        </w:tabs>
        <w:bidi w:val="0"/>
        <w:ind w:left="1414" w:hanging="283"/>
        <w:jc w:val="left"/>
        <w:rPr/>
      </w:pPr>
      <w:r>
        <w:rPr/>
        <w:t>Un resumen listo para copiar/pegar a WhatsApp.</w:t>
      </w:r>
    </w:p>
    <w:p>
      <w:pPr>
        <w:pStyle w:val="TextBody"/>
        <w:bidi w:val="0"/>
        <w:jc w:val="left"/>
        <w:rPr/>
      </w:pPr>
      <w:r>
        <w:rPr>
          <w:rStyle w:val="StrongEmphasis"/>
        </w:rPr>
        <w:t>Onboarding rápido y sin “trauma tech”</w:t>
      </w:r>
    </w:p>
    <w:p>
      <w:pPr>
        <w:pStyle w:val="TextBody"/>
        <w:numPr>
          <w:ilvl w:val="0"/>
          <w:numId w:val="11"/>
        </w:numPr>
        <w:tabs>
          <w:tab w:val="clear" w:pos="709"/>
          <w:tab w:val="left" w:pos="707" w:leader="none"/>
        </w:tabs>
        <w:bidi w:val="0"/>
        <w:ind w:left="707" w:hanging="283"/>
        <w:jc w:val="left"/>
        <w:rPr/>
      </w:pPr>
      <w:r>
        <w:rPr/>
        <w:t>White label total bajo la marca de la inmobiliaria/desarrolladora.</w:t>
      </w:r>
    </w:p>
    <w:p>
      <w:pPr>
        <w:pStyle w:val="TextBody"/>
        <w:bidi w:val="0"/>
        <w:jc w:val="left"/>
        <w:rPr/>
      </w:pPr>
      <w:r>
        <w:rPr/>
        <w:t>Onboarding prometido en 48 h, algo muy competitivo en un sector acostumbrado a implementaciones eternas.</w:t>
      </w:r>
    </w:p>
    <w:p>
      <w:pPr>
        <w:pStyle w:val="Heading3"/>
        <w:bidi w:val="0"/>
        <w:jc w:val="left"/>
        <w:rPr/>
      </w:pPr>
      <w:r>
        <w:rPr/>
        <w:t>3.3 Para el inversor final</w:t>
      </w:r>
    </w:p>
    <w:p>
      <w:pPr>
        <w:pStyle w:val="TextBody"/>
        <w:numPr>
          <w:ilvl w:val="0"/>
          <w:numId w:val="12"/>
        </w:numPr>
        <w:tabs>
          <w:tab w:val="clear" w:pos="709"/>
          <w:tab w:val="left" w:pos="707" w:leader="none"/>
        </w:tabs>
        <w:bidi w:val="0"/>
        <w:ind w:left="707" w:hanging="283"/>
        <w:jc w:val="left"/>
        <w:rPr/>
      </w:pPr>
      <w:r>
        <w:rPr>
          <w:rStyle w:val="StrongEmphasis"/>
        </w:rPr>
        <w:t>Portal conversacional 24/7</w:t>
      </w:r>
      <w:r>
        <w:rPr/>
        <w:br/>
        <w:t>Puede entrar y preguntar:</w:t>
      </w:r>
    </w:p>
    <w:p>
      <w:pPr>
        <w:pStyle w:val="TextBody"/>
        <w:numPr>
          <w:ilvl w:val="1"/>
          <w:numId w:val="12"/>
        </w:numPr>
        <w:tabs>
          <w:tab w:val="clear" w:pos="709"/>
          <w:tab w:val="left" w:pos="1414" w:leader="none"/>
        </w:tabs>
        <w:bidi w:val="0"/>
        <w:ind w:left="1414" w:hanging="283"/>
        <w:jc w:val="left"/>
        <w:rPr/>
      </w:pPr>
      <w:r>
        <w:rPr/>
        <w:t>“</w:t>
      </w:r>
      <w:r>
        <w:rPr/>
        <w:t>¿Cómo viene la obra del edificio donde compré el 3B?”</w:t>
      </w:r>
    </w:p>
    <w:p>
      <w:pPr>
        <w:pStyle w:val="TextBody"/>
        <w:numPr>
          <w:ilvl w:val="1"/>
          <w:numId w:val="12"/>
        </w:numPr>
        <w:tabs>
          <w:tab w:val="clear" w:pos="709"/>
          <w:tab w:val="left" w:pos="1414" w:leader="none"/>
        </w:tabs>
        <w:bidi w:val="0"/>
        <w:ind w:left="1414" w:hanging="283"/>
        <w:jc w:val="left"/>
        <w:rPr/>
      </w:pPr>
      <w:r>
        <w:rPr/>
        <w:t>“</w:t>
      </w:r>
      <w:r>
        <w:rPr/>
        <w:t>¿Cuánto pagué y cuánto falta según mi plan?”</w:t>
      </w:r>
    </w:p>
    <w:p>
      <w:pPr>
        <w:pStyle w:val="TextBody"/>
        <w:numPr>
          <w:ilvl w:val="1"/>
          <w:numId w:val="12"/>
        </w:numPr>
        <w:tabs>
          <w:tab w:val="clear" w:pos="709"/>
          <w:tab w:val="left" w:pos="1414" w:leader="none"/>
        </w:tabs>
        <w:bidi w:val="0"/>
        <w:ind w:left="1414" w:hanging="283"/>
        <w:jc w:val="left"/>
        <w:rPr/>
      </w:pPr>
      <w:r>
        <w:rPr/>
        <w:t>“</w:t>
      </w:r>
      <w:r>
        <w:rPr/>
        <w:t>¿Cuándo y de cuánto es mi próxima cuota?”</w:t>
      </w:r>
    </w:p>
    <w:p>
      <w:pPr>
        <w:pStyle w:val="TextBody"/>
        <w:numPr>
          <w:ilvl w:val="0"/>
          <w:numId w:val="13"/>
        </w:numPr>
        <w:tabs>
          <w:tab w:val="clear" w:pos="709"/>
          <w:tab w:val="left" w:pos="707" w:leader="none"/>
        </w:tabs>
        <w:bidi w:val="0"/>
        <w:ind w:left="707" w:hanging="283"/>
        <w:jc w:val="left"/>
        <w:rPr/>
      </w:pPr>
      <w:r>
        <w:rPr>
          <w:rStyle w:val="StrongEmphasis"/>
        </w:rPr>
        <w:t>Fuente única de verdad</w:t>
      </w:r>
    </w:p>
    <w:p>
      <w:pPr>
        <w:pStyle w:val="TextBody"/>
        <w:numPr>
          <w:ilvl w:val="1"/>
          <w:numId w:val="13"/>
        </w:numPr>
        <w:tabs>
          <w:tab w:val="clear" w:pos="709"/>
          <w:tab w:val="left" w:pos="1414" w:leader="none"/>
        </w:tabs>
        <w:bidi w:val="0"/>
        <w:ind w:left="1414" w:hanging="283"/>
        <w:jc w:val="left"/>
        <w:rPr/>
      </w:pPr>
      <w:r>
        <w:rPr/>
        <w:t>Estado de cuenta claro (“estás al día”, “tenés X cuotas vencidas”).</w:t>
      </w:r>
    </w:p>
    <w:p>
      <w:pPr>
        <w:pStyle w:val="TextBody"/>
        <w:numPr>
          <w:ilvl w:val="1"/>
          <w:numId w:val="13"/>
        </w:numPr>
        <w:tabs>
          <w:tab w:val="clear" w:pos="709"/>
          <w:tab w:val="left" w:pos="1414" w:leader="none"/>
        </w:tabs>
        <w:bidi w:val="0"/>
        <w:ind w:left="1414" w:hanging="283"/>
        <w:jc w:val="left"/>
        <w:rPr/>
      </w:pPr>
      <w:r>
        <w:rPr/>
        <w:t>Avance de obra en lenguaje simple + fotos por hito.</w:t>
      </w:r>
    </w:p>
    <w:p>
      <w:pPr>
        <w:pStyle w:val="TextBody"/>
        <w:bidi w:val="0"/>
        <w:jc w:val="left"/>
        <w:rPr/>
      </w:pPr>
      <w:r>
        <w:rPr>
          <w:rStyle w:val="StrongEmphasis"/>
        </w:rPr>
        <w:t>Valor intangible pero muy real:</w:t>
      </w:r>
      <w:r>
        <w:rPr/>
        <w:t xml:space="preserve"> más confianza → más probabilidad de referir y recomprar.</w:t>
      </w:r>
    </w:p>
    <w:p>
      <w:pPr>
        <w:pStyle w:val="HorizontalLine"/>
        <w:suppressLineNumbers/>
        <w:pBdr>
          <w:bottom w:val="double" w:sz="2" w:space="0" w:color="808080"/>
        </w:pBdr>
        <w:bidi w:val="0"/>
        <w:spacing w:before="0" w:after="283"/>
        <w:jc w:val="left"/>
        <w:rPr/>
      </w:pPr>
      <w:r>
        <w:rPr/>
      </w:r>
    </w:p>
    <w:p>
      <w:pPr>
        <w:pStyle w:val="Heading2"/>
        <w:bidi w:val="0"/>
        <w:jc w:val="left"/>
        <w:rPr/>
      </w:pPr>
      <w:r>
        <w:rPr/>
        <w:t>4. Modelo comercial y análisis financiero</w:t>
      </w:r>
    </w:p>
    <w:p>
      <w:pPr>
        <w:pStyle w:val="Heading3"/>
        <w:bidi w:val="0"/>
        <w:jc w:val="left"/>
        <w:rPr/>
      </w:pPr>
      <w:r>
        <w:rPr/>
        <w:t>4.1 Estructura de precios</w:t>
      </w:r>
    </w:p>
    <w:p>
      <w:pPr>
        <w:pStyle w:val="TextBody"/>
        <w:bidi w:val="0"/>
        <w:spacing w:lineRule="auto" w:line="276" w:before="0" w:after="140"/>
        <w:jc w:val="left"/>
        <w:rPr/>
      </w:pPr>
      <w:r>
        <w:rPr/>
        <w:t>La tabla de precios que tienen definida:</w:t>
      </w:r>
    </w:p>
    <w:tbl>
      <w:tblPr>
        <w:tblW w:w="9972" w:type="dxa"/>
        <w:jc w:val="left"/>
        <w:tblInd w:w="0" w:type="dxa"/>
        <w:tblCellMar>
          <w:top w:w="0" w:type="dxa"/>
          <w:left w:w="0" w:type="dxa"/>
          <w:bottom w:w="0" w:type="dxa"/>
          <w:right w:w="0" w:type="dxa"/>
        </w:tblCellMar>
      </w:tblPr>
      <w:tblGrid>
        <w:gridCol w:w="1168"/>
        <w:gridCol w:w="2164"/>
        <w:gridCol w:w="2651"/>
        <w:gridCol w:w="1994"/>
        <w:gridCol w:w="1995"/>
      </w:tblGrid>
      <w:tr>
        <w:trPr/>
        <w:tc>
          <w:tcPr>
            <w:tcW w:w="1168" w:type="dxa"/>
            <w:tcBorders/>
          </w:tcPr>
          <w:p>
            <w:pPr>
              <w:pStyle w:val="TextBody"/>
              <w:bidi w:val="0"/>
              <w:spacing w:before="0" w:after="140"/>
              <w:jc w:val="left"/>
              <w:rPr>
                <w:b/>
                <w:b/>
                <w:bCs/>
                <w:sz w:val="22"/>
                <w:szCs w:val="22"/>
              </w:rPr>
            </w:pPr>
            <w:r>
              <w:rPr>
                <w:b/>
                <w:bCs/>
                <w:sz w:val="22"/>
                <w:szCs w:val="22"/>
              </w:rPr>
              <w:t>Plan</w:t>
            </w:r>
          </w:p>
        </w:tc>
        <w:tc>
          <w:tcPr>
            <w:tcW w:w="2164" w:type="dxa"/>
            <w:tcBorders/>
          </w:tcPr>
          <w:p>
            <w:pPr>
              <w:pStyle w:val="TextBody"/>
              <w:bidi w:val="0"/>
              <w:spacing w:before="0" w:after="140"/>
              <w:jc w:val="left"/>
              <w:rPr>
                <w:b/>
                <w:b/>
                <w:bCs/>
                <w:sz w:val="22"/>
                <w:szCs w:val="22"/>
              </w:rPr>
            </w:pPr>
            <w:r>
              <w:rPr>
                <w:b/>
                <w:bCs/>
                <w:sz w:val="22"/>
                <w:szCs w:val="22"/>
              </w:rPr>
              <w:t>Unidades totales</w:t>
            </w:r>
          </w:p>
        </w:tc>
        <w:tc>
          <w:tcPr>
            <w:tcW w:w="2651" w:type="dxa"/>
            <w:tcBorders/>
          </w:tcPr>
          <w:p>
            <w:pPr>
              <w:pStyle w:val="TextBody"/>
              <w:bidi w:val="0"/>
              <w:spacing w:before="0" w:after="140"/>
              <w:jc w:val="left"/>
              <w:rPr>
                <w:b/>
                <w:b/>
                <w:bCs/>
                <w:sz w:val="22"/>
                <w:szCs w:val="22"/>
              </w:rPr>
            </w:pPr>
            <w:r>
              <w:rPr>
                <w:b/>
                <w:bCs/>
                <w:sz w:val="22"/>
                <w:szCs w:val="22"/>
              </w:rPr>
              <w:t>m² totales proyectos</w:t>
            </w:r>
          </w:p>
        </w:tc>
        <w:tc>
          <w:tcPr>
            <w:tcW w:w="1994" w:type="dxa"/>
            <w:tcBorders/>
          </w:tcPr>
          <w:p>
            <w:pPr>
              <w:pStyle w:val="TextBody"/>
              <w:bidi w:val="0"/>
              <w:spacing w:before="0" w:after="140"/>
              <w:jc w:val="left"/>
              <w:rPr>
                <w:b/>
                <w:b/>
                <w:bCs/>
                <w:sz w:val="22"/>
                <w:szCs w:val="22"/>
              </w:rPr>
            </w:pPr>
            <w:r>
              <w:rPr>
                <w:b/>
                <w:bCs/>
                <w:sz w:val="22"/>
                <w:szCs w:val="22"/>
              </w:rPr>
              <w:t>SETUP USD</w:t>
            </w:r>
          </w:p>
        </w:tc>
        <w:tc>
          <w:tcPr>
            <w:tcW w:w="1995" w:type="dxa"/>
            <w:tcBorders/>
          </w:tcPr>
          <w:p>
            <w:pPr>
              <w:pStyle w:val="TextBody"/>
              <w:bidi w:val="0"/>
              <w:spacing w:before="0" w:after="140"/>
              <w:jc w:val="left"/>
              <w:rPr>
                <w:b/>
                <w:b/>
                <w:bCs/>
                <w:sz w:val="22"/>
                <w:szCs w:val="22"/>
              </w:rPr>
            </w:pPr>
            <w:r>
              <w:rPr>
                <w:b/>
                <w:bCs/>
                <w:sz w:val="22"/>
                <w:szCs w:val="22"/>
              </w:rPr>
              <w:t>SaaS mensual USD</w:t>
            </w:r>
          </w:p>
        </w:tc>
      </w:tr>
      <w:tr>
        <w:trPr/>
        <w:tc>
          <w:tcPr>
            <w:tcW w:w="1168" w:type="dxa"/>
            <w:tcBorders/>
          </w:tcPr>
          <w:p>
            <w:pPr>
              <w:pStyle w:val="TextBody"/>
              <w:bidi w:val="0"/>
              <w:spacing w:lineRule="auto" w:line="276" w:before="0" w:after="140"/>
              <w:jc w:val="left"/>
              <w:rPr/>
            </w:pPr>
            <w:r>
              <w:rPr/>
              <w:t>Starter</w:t>
            </w:r>
          </w:p>
        </w:tc>
        <w:tc>
          <w:tcPr>
            <w:tcW w:w="2164" w:type="dxa"/>
            <w:tcBorders/>
          </w:tcPr>
          <w:p>
            <w:pPr>
              <w:pStyle w:val="TextBody"/>
              <w:bidi w:val="0"/>
              <w:spacing w:lineRule="auto" w:line="276" w:before="0" w:after="140"/>
              <w:jc w:val="left"/>
              <w:rPr/>
            </w:pPr>
            <w:r>
              <w:rPr/>
              <w:t>0-20 unidades</w:t>
            </w:r>
          </w:p>
        </w:tc>
        <w:tc>
          <w:tcPr>
            <w:tcW w:w="2651" w:type="dxa"/>
            <w:tcBorders/>
          </w:tcPr>
          <w:p>
            <w:pPr>
              <w:pStyle w:val="TextBody"/>
              <w:bidi w:val="0"/>
              <w:spacing w:lineRule="auto" w:line="276" w:before="0" w:after="140"/>
              <w:jc w:val="left"/>
              <w:rPr/>
            </w:pPr>
            <w:r>
              <w:rPr/>
              <w:t>&lt; 2 000 m²</w:t>
            </w:r>
          </w:p>
        </w:tc>
        <w:tc>
          <w:tcPr>
            <w:tcW w:w="1994" w:type="dxa"/>
            <w:tcBorders/>
          </w:tcPr>
          <w:p>
            <w:pPr>
              <w:pStyle w:val="TextBody"/>
              <w:bidi w:val="0"/>
              <w:spacing w:lineRule="auto" w:line="276" w:before="0" w:after="140"/>
              <w:jc w:val="left"/>
              <w:rPr/>
            </w:pPr>
            <w:r>
              <w:rPr/>
              <w:t>1 500</w:t>
            </w:r>
          </w:p>
        </w:tc>
        <w:tc>
          <w:tcPr>
            <w:tcW w:w="1995" w:type="dxa"/>
            <w:tcBorders/>
          </w:tcPr>
          <w:p>
            <w:pPr>
              <w:pStyle w:val="TextBody"/>
              <w:bidi w:val="0"/>
              <w:spacing w:lineRule="auto" w:line="276" w:before="0" w:after="140"/>
              <w:jc w:val="left"/>
              <w:rPr/>
            </w:pPr>
            <w:r>
              <w:rPr/>
              <w:t>250</w:t>
            </w:r>
          </w:p>
        </w:tc>
      </w:tr>
      <w:tr>
        <w:trPr/>
        <w:tc>
          <w:tcPr>
            <w:tcW w:w="1168" w:type="dxa"/>
            <w:tcBorders/>
          </w:tcPr>
          <w:p>
            <w:pPr>
              <w:pStyle w:val="TextBody"/>
              <w:bidi w:val="0"/>
              <w:spacing w:lineRule="auto" w:line="276" w:before="0" w:after="140"/>
              <w:jc w:val="left"/>
              <w:rPr/>
            </w:pPr>
            <w:r>
              <w:rPr/>
              <w:t>Growth</w:t>
            </w:r>
          </w:p>
        </w:tc>
        <w:tc>
          <w:tcPr>
            <w:tcW w:w="2164" w:type="dxa"/>
            <w:tcBorders/>
          </w:tcPr>
          <w:p>
            <w:pPr>
              <w:pStyle w:val="TextBody"/>
              <w:bidi w:val="0"/>
              <w:spacing w:lineRule="auto" w:line="276" w:before="0" w:after="140"/>
              <w:jc w:val="left"/>
              <w:rPr/>
            </w:pPr>
            <w:r>
              <w:rPr/>
              <w:t>21-100 unidades</w:t>
            </w:r>
          </w:p>
        </w:tc>
        <w:tc>
          <w:tcPr>
            <w:tcW w:w="2651" w:type="dxa"/>
            <w:tcBorders/>
          </w:tcPr>
          <w:p>
            <w:pPr>
              <w:pStyle w:val="TextBody"/>
              <w:bidi w:val="0"/>
              <w:spacing w:lineRule="auto" w:line="276" w:before="0" w:after="140"/>
              <w:jc w:val="left"/>
              <w:rPr/>
            </w:pPr>
            <w:r>
              <w:rPr/>
              <w:t>2 000-10 000 m²</w:t>
            </w:r>
          </w:p>
        </w:tc>
        <w:tc>
          <w:tcPr>
            <w:tcW w:w="1994" w:type="dxa"/>
            <w:tcBorders/>
          </w:tcPr>
          <w:p>
            <w:pPr>
              <w:pStyle w:val="TextBody"/>
              <w:bidi w:val="0"/>
              <w:spacing w:lineRule="auto" w:line="276" w:before="0" w:after="140"/>
              <w:jc w:val="left"/>
              <w:rPr/>
            </w:pPr>
            <w:r>
              <w:rPr/>
              <w:t>3 000</w:t>
            </w:r>
          </w:p>
        </w:tc>
        <w:tc>
          <w:tcPr>
            <w:tcW w:w="1995" w:type="dxa"/>
            <w:tcBorders/>
          </w:tcPr>
          <w:p>
            <w:pPr>
              <w:pStyle w:val="TextBody"/>
              <w:bidi w:val="0"/>
              <w:spacing w:lineRule="auto" w:line="276" w:before="0" w:after="140"/>
              <w:jc w:val="left"/>
              <w:rPr/>
            </w:pPr>
            <w:r>
              <w:rPr/>
              <w:t>450</w:t>
            </w:r>
          </w:p>
        </w:tc>
      </w:tr>
      <w:tr>
        <w:trPr/>
        <w:tc>
          <w:tcPr>
            <w:tcW w:w="1168" w:type="dxa"/>
            <w:tcBorders/>
          </w:tcPr>
          <w:p>
            <w:pPr>
              <w:pStyle w:val="TextBody"/>
              <w:bidi w:val="0"/>
              <w:spacing w:lineRule="auto" w:line="276" w:before="0" w:after="140"/>
              <w:jc w:val="left"/>
              <w:rPr/>
            </w:pPr>
            <w:r>
              <w:rPr/>
              <w:t>Pro</w:t>
            </w:r>
          </w:p>
        </w:tc>
        <w:tc>
          <w:tcPr>
            <w:tcW w:w="2164" w:type="dxa"/>
            <w:tcBorders/>
          </w:tcPr>
          <w:p>
            <w:pPr>
              <w:pStyle w:val="TextBody"/>
              <w:bidi w:val="0"/>
              <w:spacing w:lineRule="auto" w:line="276" w:before="0" w:after="140"/>
              <w:jc w:val="left"/>
              <w:rPr/>
            </w:pPr>
            <w:r>
              <w:rPr/>
              <w:t>101-250 unidades</w:t>
            </w:r>
          </w:p>
        </w:tc>
        <w:tc>
          <w:tcPr>
            <w:tcW w:w="2651" w:type="dxa"/>
            <w:tcBorders/>
          </w:tcPr>
          <w:p>
            <w:pPr>
              <w:pStyle w:val="TextBody"/>
              <w:bidi w:val="0"/>
              <w:spacing w:lineRule="auto" w:line="276" w:before="0" w:after="140"/>
              <w:jc w:val="left"/>
              <w:rPr/>
            </w:pPr>
            <w:r>
              <w:rPr/>
              <w:t>10 000-25 000 m²</w:t>
            </w:r>
          </w:p>
        </w:tc>
        <w:tc>
          <w:tcPr>
            <w:tcW w:w="1994" w:type="dxa"/>
            <w:tcBorders/>
          </w:tcPr>
          <w:p>
            <w:pPr>
              <w:pStyle w:val="TextBody"/>
              <w:bidi w:val="0"/>
              <w:spacing w:lineRule="auto" w:line="276" w:before="0" w:after="140"/>
              <w:jc w:val="left"/>
              <w:rPr/>
            </w:pPr>
            <w:r>
              <w:rPr/>
              <w:t>5 000</w:t>
            </w:r>
          </w:p>
        </w:tc>
        <w:tc>
          <w:tcPr>
            <w:tcW w:w="1995" w:type="dxa"/>
            <w:tcBorders/>
          </w:tcPr>
          <w:p>
            <w:pPr>
              <w:pStyle w:val="TextBody"/>
              <w:bidi w:val="0"/>
              <w:spacing w:lineRule="auto" w:line="276" w:before="0" w:after="140"/>
              <w:jc w:val="left"/>
              <w:rPr/>
            </w:pPr>
            <w:r>
              <w:rPr/>
              <w:t>750</w:t>
            </w:r>
          </w:p>
        </w:tc>
      </w:tr>
      <w:tr>
        <w:trPr/>
        <w:tc>
          <w:tcPr>
            <w:tcW w:w="1168" w:type="dxa"/>
            <w:tcBorders/>
          </w:tcPr>
          <w:p>
            <w:pPr>
              <w:pStyle w:val="TextBody"/>
              <w:bidi w:val="0"/>
              <w:spacing w:lineRule="auto" w:line="276" w:before="0" w:after="140"/>
              <w:jc w:val="left"/>
              <w:rPr/>
            </w:pPr>
            <w:r>
              <w:rPr/>
              <w:t>Enterprise</w:t>
            </w:r>
          </w:p>
        </w:tc>
        <w:tc>
          <w:tcPr>
            <w:tcW w:w="2164" w:type="dxa"/>
            <w:tcBorders/>
          </w:tcPr>
          <w:p>
            <w:pPr>
              <w:pStyle w:val="TextBody"/>
              <w:bidi w:val="0"/>
              <w:spacing w:lineRule="auto" w:line="276" w:before="0" w:after="140"/>
              <w:jc w:val="left"/>
              <w:rPr/>
            </w:pPr>
            <w:r>
              <w:rPr/>
              <w:t>251+ unidades</w:t>
            </w:r>
          </w:p>
        </w:tc>
        <w:tc>
          <w:tcPr>
            <w:tcW w:w="2651" w:type="dxa"/>
            <w:tcBorders/>
          </w:tcPr>
          <w:p>
            <w:pPr>
              <w:pStyle w:val="TextBody"/>
              <w:bidi w:val="0"/>
              <w:spacing w:lineRule="auto" w:line="276" w:before="0" w:after="140"/>
              <w:jc w:val="left"/>
              <w:rPr/>
            </w:pPr>
            <w:r>
              <w:rPr/>
              <w:t>&gt; 25 000 m²</w:t>
            </w:r>
          </w:p>
        </w:tc>
        <w:tc>
          <w:tcPr>
            <w:tcW w:w="1994" w:type="dxa"/>
            <w:tcBorders/>
          </w:tcPr>
          <w:p>
            <w:pPr>
              <w:pStyle w:val="TextBody"/>
              <w:bidi w:val="0"/>
              <w:spacing w:lineRule="auto" w:line="276" w:before="0" w:after="140"/>
              <w:jc w:val="left"/>
              <w:rPr/>
            </w:pPr>
            <w:r>
              <w:rPr/>
              <w:t>8 000</w:t>
            </w:r>
          </w:p>
        </w:tc>
        <w:tc>
          <w:tcPr>
            <w:tcW w:w="1995" w:type="dxa"/>
            <w:tcBorders/>
          </w:tcPr>
          <w:p>
            <w:pPr>
              <w:pStyle w:val="TextBody"/>
              <w:bidi w:val="0"/>
              <w:spacing w:lineRule="auto" w:line="276" w:before="0" w:after="140"/>
              <w:jc w:val="left"/>
              <w:rPr/>
            </w:pPr>
            <w:r>
              <w:rPr/>
              <w:t>1 000</w:t>
            </w:r>
          </w:p>
        </w:tc>
      </w:tr>
    </w:tbl>
    <w:p>
      <w:pPr>
        <w:pStyle w:val="TextBody"/>
        <w:numPr>
          <w:ilvl w:val="0"/>
          <w:numId w:val="29"/>
        </w:numPr>
        <w:tabs>
          <w:tab w:val="clear" w:pos="709"/>
          <w:tab w:val="left" w:pos="720" w:leader="none"/>
        </w:tabs>
        <w:bidi w:val="0"/>
        <w:ind w:left="720" w:hanging="283"/>
        <w:jc w:val="left"/>
        <w:rPr/>
      </w:pPr>
      <w:r>
        <w:rPr/>
        <w:t xml:space="preserve">El </w:t>
      </w:r>
      <w:r>
        <w:rPr>
          <w:rStyle w:val="StrongEmphasis"/>
        </w:rPr>
        <w:t>Starter</w:t>
      </w:r>
      <w:r>
        <w:rPr/>
        <w:t xml:space="preserve"> queda como plan “micro” (0–20 unidades), donde el setup de 1 500 USD es comercialmente defendible y te permite decir: </w:t>
      </w:r>
      <w:r>
        <w:rPr>
          <w:rStyle w:val="Emphasis"/>
        </w:rPr>
        <w:t>“incluso para un solo edificio chico ya te vale la pena”</w:t>
      </w:r>
      <w:r>
        <w:rPr/>
        <w:t>.</w:t>
      </w:r>
    </w:p>
    <w:p>
      <w:pPr>
        <w:pStyle w:val="TextBody"/>
        <w:numPr>
          <w:ilvl w:val="0"/>
          <w:numId w:val="30"/>
        </w:numPr>
        <w:tabs>
          <w:tab w:val="clear" w:pos="709"/>
          <w:tab w:val="left" w:pos="720" w:leader="none"/>
        </w:tabs>
        <w:bidi w:val="0"/>
        <w:ind w:left="720" w:hanging="283"/>
        <w:jc w:val="left"/>
        <w:rPr/>
      </w:pPr>
      <w:r>
        <w:rPr/>
        <w:t xml:space="preserve">El peso real del negocio y del esfuerzo de implementación se monetiza bien en </w:t>
      </w:r>
      <w:r>
        <w:rPr>
          <w:rStyle w:val="StrongEmphasis"/>
        </w:rPr>
        <w:t>Growth y Pro</w:t>
      </w:r>
      <w:r>
        <w:rPr/>
        <w:t>, que es donde van a estar la mayoría de las desarrolladoras con varias torres / etapas.</w:t>
      </w:r>
    </w:p>
    <w:p>
      <w:pPr>
        <w:pStyle w:val="TextBody"/>
        <w:bidi w:val="0"/>
        <w:jc w:val="left"/>
        <w:rPr/>
      </w:pPr>
      <w:r>
        <w:rPr/>
        <w:t>Fortalezas:</w:t>
      </w:r>
    </w:p>
    <w:p>
      <w:pPr>
        <w:pStyle w:val="TextBody"/>
        <w:numPr>
          <w:ilvl w:val="0"/>
          <w:numId w:val="14"/>
        </w:numPr>
        <w:tabs>
          <w:tab w:val="clear" w:pos="709"/>
          <w:tab w:val="left" w:pos="707" w:leader="none"/>
        </w:tabs>
        <w:bidi w:val="0"/>
        <w:ind w:left="707" w:hanging="283"/>
        <w:jc w:val="left"/>
        <w:rPr/>
      </w:pPr>
      <w:r>
        <w:rPr/>
        <w:t xml:space="preserve">Alinea precio con </w:t>
      </w:r>
      <w:r>
        <w:rPr>
          <w:rStyle w:val="StrongEmphasis"/>
        </w:rPr>
        <w:t>capacidad de monetización</w:t>
      </w:r>
      <w:r>
        <w:rPr/>
        <w:t xml:space="preserve"> del cliente (un desarrollador con 20 proyectos puede pagar más).</w:t>
      </w:r>
    </w:p>
    <w:p>
      <w:pPr>
        <w:pStyle w:val="TextBody"/>
        <w:numPr>
          <w:ilvl w:val="0"/>
          <w:numId w:val="14"/>
        </w:numPr>
        <w:tabs>
          <w:tab w:val="clear" w:pos="709"/>
          <w:tab w:val="left" w:pos="707" w:leader="none"/>
        </w:tabs>
        <w:bidi w:val="0"/>
        <w:ind w:left="707" w:hanging="283"/>
        <w:jc w:val="left"/>
        <w:rPr/>
      </w:pPr>
      <w:r>
        <w:rPr/>
        <w:t xml:space="preserve">Mezcla de </w:t>
      </w:r>
      <w:r>
        <w:rPr>
          <w:rStyle w:val="StrongEmphasis"/>
        </w:rPr>
        <w:t>ingreso inicial (setup)</w:t>
      </w:r>
      <w:r>
        <w:rPr/>
        <w:t xml:space="preserve"> + </w:t>
      </w:r>
      <w:r>
        <w:rPr>
          <w:rStyle w:val="StrongEmphasis"/>
        </w:rPr>
        <w:t>recurrente</w:t>
      </w:r>
      <w:r>
        <w:rPr/>
        <w:t>, lo que ayuda a financiar la implementación y mejorar el cash del primer año.</w:t>
      </w:r>
    </w:p>
    <w:p>
      <w:pPr>
        <w:pStyle w:val="TextBody"/>
        <w:numPr>
          <w:ilvl w:val="0"/>
          <w:numId w:val="14"/>
        </w:numPr>
        <w:tabs>
          <w:tab w:val="clear" w:pos="709"/>
          <w:tab w:val="left" w:pos="707" w:leader="none"/>
        </w:tabs>
        <w:bidi w:val="0"/>
        <w:ind w:left="707" w:hanging="283"/>
        <w:jc w:val="left"/>
        <w:rPr/>
      </w:pPr>
      <w:r>
        <w:rPr/>
        <w:t>Claridad para el discurso comercial.</w:t>
      </w:r>
    </w:p>
    <w:p>
      <w:pPr>
        <w:pStyle w:val="TextBody"/>
        <w:bidi w:val="0"/>
        <w:jc w:val="left"/>
        <w:rPr/>
      </w:pPr>
      <w:r/>
      <w:r>
        <w:t>Comparado con CRMs inmobiliarios generalistas de la región (p. ej., Tokko Broker), que suelen cobrar un fee mensual por usuarios/propiedades y con menor componente de setup, Vertice360 se posiciona como plataforma vertical “en pozo” con onboarding acelerado (Tokko Broker, 2026).</w:t>
      </w:r>
    </w:p>
    <w:p>
      <w:pPr>
        <w:pStyle w:val="Heading3"/>
        <w:bidi w:val="0"/>
        <w:jc w:val="left"/>
        <w:rPr/>
      </w:pPr>
      <w:r>
        <w:rPr/>
        <w:t>4.2 Escenario financiero Año 1 (Argentina)</w:t>
      </w:r>
    </w:p>
    <w:p>
      <w:pPr>
        <w:pStyle w:val="TextBody"/>
        <w:bidi w:val="0"/>
        <w:spacing w:lineRule="auto" w:line="276" w:before="0" w:after="140"/>
        <w:jc w:val="left"/>
        <w:rPr/>
      </w:pPr>
      <w:r>
        <w:rPr/>
        <w:t>Ustedes ya modelaron:</w:t>
      </w:r>
    </w:p>
    <w:p>
      <w:pPr>
        <w:pStyle w:val="TextBody"/>
        <w:numPr>
          <w:ilvl w:val="0"/>
          <w:numId w:val="15"/>
        </w:numPr>
        <w:tabs>
          <w:tab w:val="clear" w:pos="709"/>
          <w:tab w:val="left" w:pos="707" w:leader="none"/>
        </w:tabs>
        <w:bidi w:val="0"/>
        <w:ind w:left="707" w:hanging="283"/>
        <w:jc w:val="left"/>
        <w:rPr/>
      </w:pPr>
      <w:r>
        <w:rPr/>
        <w:t>10 clientes Plan Growth</w:t>
      </w:r>
    </w:p>
    <w:p>
      <w:pPr>
        <w:pStyle w:val="TextBody"/>
        <w:numPr>
          <w:ilvl w:val="1"/>
          <w:numId w:val="15"/>
        </w:numPr>
        <w:tabs>
          <w:tab w:val="clear" w:pos="709"/>
          <w:tab w:val="left" w:pos="1414" w:leader="none"/>
        </w:tabs>
        <w:bidi w:val="0"/>
        <w:ind w:left="1414" w:hanging="283"/>
        <w:jc w:val="left"/>
        <w:rPr/>
      </w:pPr>
      <w:r>
        <w:rPr/>
        <w:t>Setup: 10 × 3.000 = 30.000 USD</w:t>
      </w:r>
    </w:p>
    <w:p>
      <w:pPr>
        <w:pStyle w:val="TextBody"/>
        <w:numPr>
          <w:ilvl w:val="1"/>
          <w:numId w:val="15"/>
        </w:numPr>
        <w:tabs>
          <w:tab w:val="clear" w:pos="709"/>
          <w:tab w:val="left" w:pos="1414" w:leader="none"/>
        </w:tabs>
        <w:bidi w:val="0"/>
        <w:ind w:left="1414" w:hanging="283"/>
        <w:jc w:val="left"/>
        <w:rPr/>
      </w:pPr>
      <w:r>
        <w:rPr/>
        <w:t>Recurrente: 10 × 450 × 12 = 54.000 USD</w:t>
      </w:r>
    </w:p>
    <w:p>
      <w:pPr>
        <w:pStyle w:val="TextBody"/>
        <w:numPr>
          <w:ilvl w:val="1"/>
          <w:numId w:val="15"/>
        </w:numPr>
        <w:tabs>
          <w:tab w:val="clear" w:pos="709"/>
          <w:tab w:val="left" w:pos="1414" w:leader="none"/>
        </w:tabs>
        <w:bidi w:val="0"/>
        <w:ind w:left="1414" w:hanging="283"/>
        <w:jc w:val="left"/>
        <w:rPr/>
      </w:pPr>
      <w:r>
        <w:rPr>
          <w:rStyle w:val="StrongEmphasis"/>
        </w:rPr>
        <w:t>Total Año 1: 84.000 USD</w:t>
      </w:r>
      <w:r>
        <w:rPr/>
        <w:t xml:space="preserve"> con margen estimado del 80 %.</w:t>
      </w:r>
    </w:p>
    <w:p>
      <w:pPr>
        <w:pStyle w:val="TextBody"/>
        <w:bidi w:val="0"/>
        <w:jc w:val="left"/>
        <w:rPr/>
      </w:pPr>
      <w:r>
        <w:rPr/>
        <w:t xml:space="preserve">Como </w:t>
      </w:r>
      <w:r>
        <w:rPr>
          <w:rStyle w:val="StrongEmphasis"/>
        </w:rPr>
        <w:t>escenario conservador de validación</w:t>
      </w:r>
      <w:r>
        <w:rPr/>
        <w:t xml:space="preserve">, es razonable. Con el socio RE/MAX (mejor vendedor 2024) el cuello de botella va a estar más en la </w:t>
      </w:r>
      <w:r>
        <w:rPr>
          <w:rStyle w:val="StrongEmphasis"/>
        </w:rPr>
        <w:t>capacidad de implementación</w:t>
      </w:r>
      <w:r>
        <w:rPr/>
        <w:t xml:space="preserve"> que en la demanda, si logran un buen pitch.</w:t>
      </w:r>
    </w:p>
    <w:p>
      <w:pPr>
        <w:pStyle w:val="Heading3"/>
        <w:bidi w:val="0"/>
        <w:jc w:val="left"/>
        <w:rPr/>
      </w:pPr>
      <w:r>
        <w:rPr/>
        <w:t>4.3 Escenario financiero Año 2 (LATAM inicial)</w:t>
      </w:r>
    </w:p>
    <w:p>
      <w:pPr>
        <w:pStyle w:val="TextBody"/>
        <w:bidi w:val="0"/>
        <w:spacing w:lineRule="auto" w:line="276" w:before="0" w:after="140"/>
        <w:jc w:val="left"/>
        <w:rPr/>
      </w:pPr>
      <w:r>
        <w:rPr/>
        <w:t>Supongamos que cierran:</w:t>
      </w:r>
    </w:p>
    <w:p>
      <w:pPr>
        <w:pStyle w:val="TextBody"/>
        <w:numPr>
          <w:ilvl w:val="0"/>
          <w:numId w:val="16"/>
        </w:numPr>
        <w:tabs>
          <w:tab w:val="clear" w:pos="709"/>
          <w:tab w:val="left" w:pos="707" w:leader="none"/>
        </w:tabs>
        <w:bidi w:val="0"/>
        <w:ind w:left="707" w:hanging="283"/>
        <w:jc w:val="left"/>
        <w:rPr/>
      </w:pPr>
      <w:r>
        <w:rPr/>
        <w:t>5 clientes Starter</w:t>
      </w:r>
    </w:p>
    <w:p>
      <w:pPr>
        <w:pStyle w:val="TextBody"/>
        <w:numPr>
          <w:ilvl w:val="0"/>
          <w:numId w:val="16"/>
        </w:numPr>
        <w:tabs>
          <w:tab w:val="clear" w:pos="709"/>
          <w:tab w:val="left" w:pos="707" w:leader="none"/>
        </w:tabs>
        <w:bidi w:val="0"/>
        <w:ind w:left="707" w:hanging="283"/>
        <w:jc w:val="left"/>
        <w:rPr/>
      </w:pPr>
      <w:r>
        <w:rPr/>
        <w:t>15 Growth</w:t>
      </w:r>
    </w:p>
    <w:p>
      <w:pPr>
        <w:pStyle w:val="TextBody"/>
        <w:numPr>
          <w:ilvl w:val="0"/>
          <w:numId w:val="16"/>
        </w:numPr>
        <w:tabs>
          <w:tab w:val="clear" w:pos="709"/>
          <w:tab w:val="left" w:pos="707" w:leader="none"/>
        </w:tabs>
        <w:bidi w:val="0"/>
        <w:ind w:left="707" w:hanging="283"/>
        <w:jc w:val="left"/>
        <w:rPr/>
      </w:pPr>
      <w:r>
        <w:rPr/>
        <w:t>8 Pro</w:t>
      </w:r>
    </w:p>
    <w:p>
      <w:pPr>
        <w:pStyle w:val="TextBody"/>
        <w:numPr>
          <w:ilvl w:val="0"/>
          <w:numId w:val="16"/>
        </w:numPr>
        <w:tabs>
          <w:tab w:val="clear" w:pos="709"/>
          <w:tab w:val="left" w:pos="707" w:leader="none"/>
        </w:tabs>
        <w:bidi w:val="0"/>
        <w:ind w:left="707" w:hanging="283"/>
        <w:jc w:val="left"/>
        <w:rPr/>
      </w:pPr>
      <w:r>
        <w:rPr/>
        <w:t>2 Enterprise</w:t>
      </w:r>
    </w:p>
    <w:p>
      <w:pPr>
        <w:pStyle w:val="TextBody"/>
        <w:bidi w:val="0"/>
        <w:jc w:val="left"/>
        <w:rPr/>
      </w:pPr>
      <w:r>
        <w:rPr/>
        <w:t>Sólo para dimensionar (números aproximados):</w:t>
      </w:r>
    </w:p>
    <w:p>
      <w:pPr>
        <w:pStyle w:val="TextBody"/>
        <w:numPr>
          <w:ilvl w:val="0"/>
          <w:numId w:val="17"/>
        </w:numPr>
        <w:tabs>
          <w:tab w:val="clear" w:pos="709"/>
          <w:tab w:val="left" w:pos="707" w:leader="none"/>
        </w:tabs>
        <w:bidi w:val="0"/>
        <w:ind w:left="707" w:hanging="283"/>
        <w:jc w:val="left"/>
        <w:rPr/>
      </w:pPr>
      <w:r>
        <w:rPr/>
        <w:t>Setup total ≈ 108.500 USD</w:t>
      </w:r>
    </w:p>
    <w:p>
      <w:pPr>
        <w:pStyle w:val="TextBody"/>
        <w:numPr>
          <w:ilvl w:val="0"/>
          <w:numId w:val="17"/>
        </w:numPr>
        <w:tabs>
          <w:tab w:val="clear" w:pos="709"/>
          <w:tab w:val="left" w:pos="707" w:leader="none"/>
        </w:tabs>
        <w:bidi w:val="0"/>
        <w:ind w:left="707" w:hanging="283"/>
        <w:jc w:val="left"/>
        <w:rPr/>
      </w:pPr>
      <w:r>
        <w:rPr/>
        <w:t>Recurrente anual ≈ 192.000 USD</w:t>
      </w:r>
    </w:p>
    <w:p>
      <w:pPr>
        <w:pStyle w:val="TextBody"/>
        <w:numPr>
          <w:ilvl w:val="0"/>
          <w:numId w:val="17"/>
        </w:numPr>
        <w:tabs>
          <w:tab w:val="clear" w:pos="709"/>
          <w:tab w:val="left" w:pos="707" w:leader="none"/>
        </w:tabs>
        <w:bidi w:val="0"/>
        <w:ind w:left="707" w:hanging="283"/>
        <w:jc w:val="left"/>
        <w:rPr/>
      </w:pPr>
      <w:r>
        <w:rPr>
          <w:rStyle w:val="StrongEmphasis"/>
        </w:rPr>
        <w:t>Ingresos Año 2 ≈ 300.000 USD</w:t>
      </w:r>
    </w:p>
    <w:p>
      <w:pPr>
        <w:pStyle w:val="TextBody"/>
        <w:bidi w:val="0"/>
        <w:jc w:val="left"/>
        <w:rPr/>
      </w:pPr>
      <w:r>
        <w:rPr/>
        <w:t xml:space="preserve">Con márgenes del 70–80 % a escala (ya con producto estable), eso deja </w:t>
      </w:r>
      <w:r>
        <w:rPr>
          <w:rStyle w:val="StrongEmphasis"/>
        </w:rPr>
        <w:t>210–240k USD de margen bruto</w:t>
      </w:r>
      <w:r>
        <w:rPr/>
        <w:t>, suficiente para:</w:t>
      </w:r>
    </w:p>
    <w:p>
      <w:pPr>
        <w:pStyle w:val="TextBody"/>
        <w:numPr>
          <w:ilvl w:val="0"/>
          <w:numId w:val="18"/>
        </w:numPr>
        <w:tabs>
          <w:tab w:val="clear" w:pos="709"/>
          <w:tab w:val="left" w:pos="707" w:leader="none"/>
        </w:tabs>
        <w:bidi w:val="0"/>
        <w:ind w:left="707" w:hanging="283"/>
        <w:jc w:val="left"/>
        <w:rPr/>
      </w:pPr>
      <w:r>
        <w:rPr/>
        <w:t>Mantener equipo tech chico pero sólido.</w:t>
      </w:r>
    </w:p>
    <w:p>
      <w:pPr>
        <w:pStyle w:val="TextBody"/>
        <w:numPr>
          <w:ilvl w:val="0"/>
          <w:numId w:val="18"/>
        </w:numPr>
        <w:tabs>
          <w:tab w:val="clear" w:pos="709"/>
          <w:tab w:val="left" w:pos="707" w:leader="none"/>
        </w:tabs>
        <w:bidi w:val="0"/>
        <w:ind w:left="707" w:hanging="283"/>
        <w:jc w:val="left"/>
        <w:rPr/>
      </w:pPr>
      <w:r>
        <w:rPr/>
        <w:t>Pagar comisiones atractivas al socio comercial y a cierres locales.</w:t>
      </w:r>
    </w:p>
    <w:p>
      <w:pPr>
        <w:pStyle w:val="TextBody"/>
        <w:numPr>
          <w:ilvl w:val="0"/>
          <w:numId w:val="18"/>
        </w:numPr>
        <w:tabs>
          <w:tab w:val="clear" w:pos="709"/>
          <w:tab w:val="left" w:pos="707" w:leader="none"/>
        </w:tabs>
        <w:bidi w:val="0"/>
        <w:ind w:left="707" w:hanging="283"/>
        <w:jc w:val="left"/>
        <w:rPr/>
      </w:pPr>
      <w:r>
        <w:rPr/>
        <w:t>Reinvertir en expansión (México, Colombia, Chile).</w:t>
      </w:r>
    </w:p>
    <w:p>
      <w:pPr>
        <w:pStyle w:val="TextBody"/>
        <w:bidi w:val="0"/>
        <w:jc w:val="left"/>
        <w:rPr/>
      </w:pPr>
      <w:r>
        <w:rPr/>
        <w:t>Su escenario de “Escalabilidad LATAM Año 3” de 50 proyectos y ~670k USD anuales con margen 82 % entra dentro del rango de lo posible si logran product-market-fit y un canal fuerte.</w:t>
      </w:r>
    </w:p>
    <w:p>
      <w:pPr>
        <w:pStyle w:val="HorizontalLine"/>
        <w:suppressLineNumbers/>
        <w:pBdr>
          <w:bottom w:val="double" w:sz="2" w:space="0" w:color="808080"/>
        </w:pBdr>
        <w:bidi w:val="0"/>
        <w:spacing w:before="0" w:after="283"/>
        <w:jc w:val="left"/>
        <w:rPr/>
      </w:pPr>
      <w:r>
        <w:rPr/>
      </w:r>
    </w:p>
    <w:p>
      <w:pPr>
        <w:pStyle w:val="Heading2"/>
        <w:bidi w:val="0"/>
        <w:jc w:val="left"/>
        <w:rPr/>
      </w:pPr>
      <w:r>
        <w:rPr/>
        <w:t>5. Competencia y diferenciación</w:t>
      </w:r>
    </w:p>
    <w:p>
      <w:pPr>
        <w:pStyle w:val="Heading3"/>
        <w:bidi w:val="0"/>
        <w:jc w:val="left"/>
        <w:rPr/>
      </w:pPr>
      <w:r>
        <w:rPr/>
        <w:t>5.1 Tipos de competidores</w:t>
      </w:r>
    </w:p>
    <w:p>
      <w:pPr>
        <w:pStyle w:val="TextBody"/>
        <w:numPr>
          <w:ilvl w:val="0"/>
          <w:numId w:val="19"/>
        </w:numPr>
        <w:tabs>
          <w:tab w:val="clear" w:pos="709"/>
          <w:tab w:val="left" w:pos="707" w:leader="none"/>
        </w:tabs>
        <w:bidi w:val="0"/>
        <w:ind w:left="707" w:hanging="283"/>
        <w:jc w:val="left"/>
        <w:rPr/>
      </w:pPr>
      <w:r>
        <w:rPr>
          <w:rStyle w:val="StrongEmphasis"/>
        </w:rPr>
        <w:t>CRMs inmobiliarios generalistas</w:t>
      </w:r>
      <w:r>
        <w:rPr/>
        <w:t xml:space="preserve"> (LATAM)</w:t>
      </w:r>
    </w:p>
    <w:p>
      <w:pPr>
        <w:pStyle w:val="TextBody"/>
        <w:numPr>
          <w:ilvl w:val="1"/>
          <w:numId w:val="19"/>
        </w:numPr>
        <w:tabs>
          <w:tab w:val="clear" w:pos="709"/>
          <w:tab w:val="left" w:pos="1414" w:leader="none"/>
        </w:tabs>
        <w:bidi w:val="0"/>
        <w:ind w:left="1414" w:hanging="283"/>
        <w:jc w:val="left"/>
        <w:rPr/>
      </w:pPr>
      <w:r/>
      <w:r>
        <w:t>Ej.: Tokko Broker, KiteProp, Inmosoft, VisionTecno CRM.</w:t>
      </w:r>
    </w:p>
    <w:p>
      <w:pPr>
        <w:pStyle w:val="TextBody"/>
        <w:numPr>
          <w:ilvl w:val="1"/>
          <w:numId w:val="19"/>
        </w:numPr>
        <w:tabs>
          <w:tab w:val="clear" w:pos="709"/>
          <w:tab w:val="left" w:pos="1414" w:leader="none"/>
        </w:tabs>
        <w:bidi w:val="0"/>
        <w:ind w:left="1414" w:hanging="283"/>
        <w:jc w:val="left"/>
        <w:rPr/>
      </w:pPr>
      <w:r>
        <w:rPr/>
        <w:t>Foco: gestión de propiedades, difusión en portales, agenda de contactos y embudos de venta.</w:t>
      </w:r>
    </w:p>
    <w:p>
      <w:pPr>
        <w:pStyle w:val="TextBody"/>
        <w:numPr>
          <w:ilvl w:val="1"/>
          <w:numId w:val="19"/>
        </w:numPr>
        <w:tabs>
          <w:tab w:val="clear" w:pos="709"/>
          <w:tab w:val="left" w:pos="1414" w:leader="none"/>
        </w:tabs>
        <w:bidi w:val="0"/>
        <w:ind w:left="1414" w:hanging="283"/>
        <w:jc w:val="left"/>
        <w:rPr/>
      </w:pPr>
      <w:r>
        <w:rPr>
          <w:rStyle w:val="StrongEmphasis"/>
        </w:rPr>
        <w:t>Punto débil para ustedes</w:t>
      </w:r>
      <w:r>
        <w:rPr/>
        <w:t>: poca profundidad en flujos específicos de “ventas en pozo” (plan de pagos, hitos de obra, experiencia del inversor).</w:t>
      </w:r>
    </w:p>
    <w:p>
      <w:pPr>
        <w:pStyle w:val="TextBody"/>
        <w:numPr>
          <w:ilvl w:val="0"/>
          <w:numId w:val="19"/>
        </w:numPr>
        <w:tabs>
          <w:tab w:val="clear" w:pos="709"/>
          <w:tab w:val="left" w:pos="707" w:leader="none"/>
        </w:tabs>
        <w:bidi w:val="0"/>
        <w:ind w:left="707" w:hanging="283"/>
        <w:jc w:val="left"/>
        <w:rPr/>
      </w:pPr>
      <w:r>
        <w:rPr>
          <w:rStyle w:val="StrongEmphasis"/>
        </w:rPr>
        <w:t>CRMs horizontales + módulos inmobiliarios</w:t>
      </w:r>
    </w:p>
    <w:p>
      <w:pPr>
        <w:pStyle w:val="TextBody"/>
        <w:numPr>
          <w:ilvl w:val="1"/>
          <w:numId w:val="19"/>
        </w:numPr>
        <w:tabs>
          <w:tab w:val="clear" w:pos="709"/>
          <w:tab w:val="left" w:pos="1414" w:leader="none"/>
        </w:tabs>
        <w:bidi w:val="0"/>
        <w:ind w:left="1414" w:hanging="283"/>
        <w:jc w:val="left"/>
        <w:rPr/>
      </w:pPr>
      <w:r/>
      <w:r>
        <w:t>Pipedrive, Zoho, HubSpot con plantillas para real estate.</w:t>
      </w:r>
    </w:p>
    <w:p>
      <w:pPr>
        <w:pStyle w:val="TextBody"/>
        <w:numPr>
          <w:ilvl w:val="1"/>
          <w:numId w:val="19"/>
        </w:numPr>
        <w:tabs>
          <w:tab w:val="clear" w:pos="709"/>
          <w:tab w:val="left" w:pos="1414" w:leader="none"/>
        </w:tabs>
        <w:bidi w:val="0"/>
        <w:ind w:left="1414" w:hanging="283"/>
        <w:jc w:val="left"/>
        <w:rPr/>
      </w:pPr>
      <w:r>
        <w:rPr/>
        <w:t>Foco: pipeline de ventas, automatización, marketing.</w:t>
      </w:r>
    </w:p>
    <w:p>
      <w:pPr>
        <w:pStyle w:val="TextBody"/>
        <w:numPr>
          <w:ilvl w:val="1"/>
          <w:numId w:val="19"/>
        </w:numPr>
        <w:tabs>
          <w:tab w:val="clear" w:pos="709"/>
          <w:tab w:val="left" w:pos="1414" w:leader="none"/>
        </w:tabs>
        <w:bidi w:val="0"/>
        <w:ind w:left="1414" w:hanging="283"/>
        <w:jc w:val="left"/>
        <w:rPr/>
      </w:pPr>
      <w:r>
        <w:rPr/>
        <w:t>Muy potentes, pero requieren mucha personalización para llegar al nivel de “asistente en pozo” que ustedes plantean.</w:t>
      </w:r>
    </w:p>
    <w:p>
      <w:pPr>
        <w:pStyle w:val="TextBody"/>
        <w:numPr>
          <w:ilvl w:val="0"/>
          <w:numId w:val="19"/>
        </w:numPr>
        <w:tabs>
          <w:tab w:val="clear" w:pos="709"/>
          <w:tab w:val="left" w:pos="707" w:leader="none"/>
        </w:tabs>
        <w:bidi w:val="0"/>
        <w:ind w:left="707" w:hanging="283"/>
        <w:jc w:val="left"/>
        <w:rPr/>
      </w:pPr>
      <w:r>
        <w:rPr>
          <w:rStyle w:val="StrongEmphasis"/>
        </w:rPr>
        <w:t>Proptechs B2C / Portales</w:t>
      </w:r>
    </w:p>
    <w:p>
      <w:pPr>
        <w:pStyle w:val="TextBody"/>
        <w:numPr>
          <w:ilvl w:val="1"/>
          <w:numId w:val="19"/>
        </w:numPr>
        <w:tabs>
          <w:tab w:val="clear" w:pos="709"/>
          <w:tab w:val="left" w:pos="1414" w:leader="none"/>
        </w:tabs>
        <w:bidi w:val="0"/>
        <w:ind w:left="1414" w:hanging="283"/>
        <w:jc w:val="left"/>
        <w:rPr/>
      </w:pPr>
      <w:r/>
      <w:r>
        <w:t>Mudafy, Zonaprop, QuintoAndar, etc.</w:t>
      </w:r>
    </w:p>
    <w:p>
      <w:pPr>
        <w:pStyle w:val="TextBody"/>
        <w:numPr>
          <w:ilvl w:val="1"/>
          <w:numId w:val="19"/>
        </w:numPr>
        <w:tabs>
          <w:tab w:val="clear" w:pos="709"/>
          <w:tab w:val="left" w:pos="1414" w:leader="none"/>
        </w:tabs>
        <w:bidi w:val="0"/>
        <w:ind w:left="1414" w:hanging="283"/>
        <w:jc w:val="left"/>
        <w:rPr/>
      </w:pPr>
      <w:r>
        <w:rPr/>
        <w:t>Foco: experiencia de compra/venta para el usuario final, captación de leads, marketplace.</w:t>
      </w:r>
    </w:p>
    <w:p>
      <w:pPr>
        <w:pStyle w:val="TextBody"/>
        <w:numPr>
          <w:ilvl w:val="1"/>
          <w:numId w:val="19"/>
        </w:numPr>
        <w:tabs>
          <w:tab w:val="clear" w:pos="709"/>
          <w:tab w:val="left" w:pos="1414" w:leader="none"/>
        </w:tabs>
        <w:bidi w:val="0"/>
        <w:ind w:left="1414" w:hanging="283"/>
        <w:jc w:val="left"/>
        <w:rPr/>
      </w:pPr>
      <w:r>
        <w:rPr/>
        <w:t xml:space="preserve">No son competencia directa como producto, pero sí compiten por </w:t>
      </w:r>
      <w:r>
        <w:rPr>
          <w:rStyle w:val="StrongEmphasis"/>
        </w:rPr>
        <w:t>presupuesto de digitalización</w:t>
      </w:r>
      <w:r>
        <w:rPr/>
        <w:t xml:space="preserve"> y por la atención de las desarrolladoras.</w:t>
      </w:r>
    </w:p>
    <w:p>
      <w:pPr>
        <w:pStyle w:val="TextBody"/>
        <w:numPr>
          <w:ilvl w:val="0"/>
          <w:numId w:val="19"/>
        </w:numPr>
        <w:tabs>
          <w:tab w:val="clear" w:pos="709"/>
          <w:tab w:val="left" w:pos="707" w:leader="none"/>
        </w:tabs>
        <w:bidi w:val="0"/>
        <w:ind w:left="707" w:hanging="283"/>
        <w:jc w:val="left"/>
        <w:rPr/>
      </w:pPr>
      <w:r>
        <w:rPr>
          <w:rStyle w:val="StrongEmphasis"/>
        </w:rPr>
        <w:t>Software global para off-plan / property management</w:t>
      </w:r>
    </w:p>
    <w:p>
      <w:pPr>
        <w:pStyle w:val="TextBody"/>
        <w:numPr>
          <w:ilvl w:val="1"/>
          <w:numId w:val="19"/>
        </w:numPr>
        <w:tabs>
          <w:tab w:val="clear" w:pos="709"/>
          <w:tab w:val="left" w:pos="1414" w:leader="none"/>
        </w:tabs>
        <w:bidi w:val="0"/>
        <w:ind w:left="1414" w:hanging="283"/>
        <w:jc w:val="left"/>
        <w:rPr/>
      </w:pPr>
      <w:r/>
      <w:r>
        <w:t>Ej.: Behomes, soluciones de property management y ERP inmobiliario más generales.</w:t>
      </w:r>
    </w:p>
    <w:p>
      <w:pPr>
        <w:pStyle w:val="TextBody"/>
        <w:numPr>
          <w:ilvl w:val="1"/>
          <w:numId w:val="19"/>
        </w:numPr>
        <w:tabs>
          <w:tab w:val="clear" w:pos="709"/>
          <w:tab w:val="left" w:pos="1414" w:leader="none"/>
        </w:tabs>
        <w:bidi w:val="0"/>
        <w:ind w:left="1414" w:hanging="283"/>
        <w:jc w:val="left"/>
        <w:rPr/>
      </w:pPr>
      <w:r>
        <w:rPr/>
        <w:t>Generalmente orientados a Middle East / Europa; poco adaptados a realidad LATAM (inflación, tipos de fideicomiso, cultura de “pozo”).</w:t>
      </w:r>
    </w:p>
    <w:p>
      <w:pPr>
        <w:pStyle w:val="Heading3"/>
        <w:bidi w:val="0"/>
        <w:jc w:val="left"/>
        <w:rPr/>
      </w:pPr>
      <w:r>
        <w:rPr/>
        <w:t>5.2 Dónde Vertice360 se diferencia</w:t>
      </w:r>
    </w:p>
    <w:p>
      <w:pPr>
        <w:pStyle w:val="TextBody"/>
        <w:numPr>
          <w:ilvl w:val="0"/>
          <w:numId w:val="20"/>
        </w:numPr>
        <w:tabs>
          <w:tab w:val="clear" w:pos="709"/>
          <w:tab w:val="left" w:pos="707" w:leader="none"/>
        </w:tabs>
        <w:bidi w:val="0"/>
        <w:ind w:left="707" w:hanging="283"/>
        <w:jc w:val="left"/>
        <w:rPr/>
      </w:pPr>
      <w:r>
        <w:rPr>
          <w:rStyle w:val="StrongEmphasis"/>
        </w:rPr>
        <w:t>Verticalización real en “en pozo”</w:t>
      </w:r>
      <w:r>
        <w:rPr/>
        <w:br/>
        <w:t xml:space="preserve">No sólo gestiona leads y propiedades, sino </w:t>
      </w:r>
      <w:r>
        <w:rPr>
          <w:rStyle w:val="StrongEmphasis"/>
        </w:rPr>
        <w:t>unidades, planes de pago, hitos de obra, cuenta corriente del inversor y avance de obra</w:t>
      </w:r>
      <w:r>
        <w:rPr/>
        <w:t>.</w:t>
      </w:r>
    </w:p>
    <w:p>
      <w:pPr>
        <w:pStyle w:val="TextBody"/>
        <w:numPr>
          <w:ilvl w:val="0"/>
          <w:numId w:val="21"/>
        </w:numPr>
        <w:tabs>
          <w:tab w:val="clear" w:pos="709"/>
          <w:tab w:val="left" w:pos="707" w:leader="none"/>
        </w:tabs>
        <w:bidi w:val="0"/>
        <w:ind w:left="707" w:hanging="283"/>
        <w:jc w:val="left"/>
        <w:rPr/>
      </w:pPr>
      <w:r>
        <w:rPr>
          <w:rStyle w:val="StrongEmphasis"/>
        </w:rPr>
        <w:t>Experiencia conversacional con datos reales</w:t>
      </w:r>
      <w:r>
        <w:rPr/>
        <w:br/>
        <w:t>Tanto para equipo de ventas como para inversores: preguntas en lenguaje natural → respuestas con datos del proyecto.</w:t>
      </w:r>
    </w:p>
    <w:p>
      <w:pPr>
        <w:pStyle w:val="TextBody"/>
        <w:numPr>
          <w:ilvl w:val="0"/>
          <w:numId w:val="21"/>
        </w:numPr>
        <w:tabs>
          <w:tab w:val="clear" w:pos="709"/>
          <w:tab w:val="left" w:pos="707" w:leader="none"/>
        </w:tabs>
        <w:bidi w:val="0"/>
        <w:ind w:left="707" w:hanging="283"/>
        <w:jc w:val="left"/>
        <w:rPr/>
      </w:pPr>
      <w:r>
        <w:rPr>
          <w:rStyle w:val="StrongEmphasis"/>
        </w:rPr>
        <w:t>Formato white label + 48 h</w:t>
      </w:r>
      <w:r>
        <w:rPr/>
        <w:br/>
        <w:t>Eso baja la barrera política (el cliente no “siente” que cede su marca) y operacional (no requiere un proyecto de meses).</w:t>
      </w:r>
    </w:p>
    <w:p>
      <w:pPr>
        <w:pStyle w:val="TextBody"/>
        <w:numPr>
          <w:ilvl w:val="0"/>
          <w:numId w:val="21"/>
        </w:numPr>
        <w:tabs>
          <w:tab w:val="clear" w:pos="709"/>
          <w:tab w:val="left" w:pos="707" w:leader="none"/>
        </w:tabs>
        <w:bidi w:val="0"/>
        <w:ind w:left="707" w:hanging="283"/>
        <w:jc w:val="left"/>
        <w:rPr/>
      </w:pPr>
      <w:r>
        <w:rPr>
          <w:rStyle w:val="StrongEmphasis"/>
        </w:rPr>
        <w:t>Equipo híbrido tech + best seller RE/MAX</w:t>
      </w:r>
      <w:r>
        <w:rPr/>
        <w:br/>
        <w:t>Esto es un activo brutal para diseñar el producto desde el campo de batalla comercial.</w:t>
      </w:r>
    </w:p>
    <w:p>
      <w:pPr>
        <w:pStyle w:val="HorizontalLine"/>
        <w:bidi w:val="0"/>
        <w:jc w:val="left"/>
        <w:rPr/>
      </w:pPr>
      <w:r>
        <w:rPr/>
      </w:r>
    </w:p>
    <w:p>
      <w:pPr>
        <w:pStyle w:val="Heading2"/>
        <w:bidi w:val="0"/>
        <w:jc w:val="left"/>
        <w:rPr/>
      </w:pPr>
      <w:r>
        <w:rPr/>
        <w:t>6. Riesgos clave</w:t>
      </w:r>
    </w:p>
    <w:p>
      <w:pPr>
        <w:pStyle w:val="Heading3"/>
        <w:bidi w:val="0"/>
        <w:jc w:val="left"/>
        <w:rPr/>
      </w:pPr>
      <w:r>
        <w:rPr/>
        <w:t>6.1 Riesgos de mercado / macro</w:t>
      </w:r>
    </w:p>
    <w:p>
      <w:pPr>
        <w:pStyle w:val="TextBody"/>
        <w:numPr>
          <w:ilvl w:val="0"/>
          <w:numId w:val="22"/>
        </w:numPr>
        <w:tabs>
          <w:tab w:val="clear" w:pos="709"/>
          <w:tab w:val="left" w:pos="707" w:leader="none"/>
        </w:tabs>
        <w:bidi w:val="0"/>
        <w:ind w:left="707" w:hanging="283"/>
        <w:jc w:val="left"/>
        <w:rPr/>
      </w:pPr>
      <w:r>
        <w:rPr>
          <w:rStyle w:val="StrongEmphasis"/>
        </w:rPr>
        <w:t>Ciclos inmobiliarios y tasas</w:t>
      </w:r>
      <w:r>
        <w:rPr/>
        <w:br/>
        <w:t>Subas de tasas o crisis locales pueden frenar lanzamientos de proyectos en pozo o ralentizar ventas.</w:t>
      </w:r>
    </w:p>
    <w:p>
      <w:pPr>
        <w:pStyle w:val="TextBody"/>
        <w:numPr>
          <w:ilvl w:val="0"/>
          <w:numId w:val="22"/>
        </w:numPr>
        <w:tabs>
          <w:tab w:val="clear" w:pos="709"/>
          <w:tab w:val="left" w:pos="707" w:leader="none"/>
        </w:tabs>
        <w:bidi w:val="0"/>
        <w:ind w:left="707" w:hanging="283"/>
        <w:jc w:val="left"/>
        <w:rPr/>
      </w:pPr>
      <w:r/>
      <w:r>
        <w:t>Inestabilidad Argentina</w:t>
        <w:br/>
        <w:t>Su mercado inicial es de alta volatilidad; buen laboratorio, pero no base estable. La diversificación a México, Colombia y Chile es estratégica (Adventures in CRE, 2025).</w:t>
      </w:r>
    </w:p>
    <w:p>
      <w:pPr>
        <w:pStyle w:val="Heading3"/>
        <w:bidi w:val="0"/>
        <w:jc w:val="left"/>
        <w:rPr/>
      </w:pPr>
      <w:r>
        <w:rPr/>
        <w:t>6.2 Riesgos comerciales</w:t>
      </w:r>
    </w:p>
    <w:p>
      <w:pPr>
        <w:pStyle w:val="TextBody"/>
        <w:numPr>
          <w:ilvl w:val="0"/>
          <w:numId w:val="23"/>
        </w:numPr>
        <w:tabs>
          <w:tab w:val="clear" w:pos="709"/>
          <w:tab w:val="left" w:pos="707" w:leader="none"/>
        </w:tabs>
        <w:bidi w:val="0"/>
        <w:ind w:left="707" w:hanging="283"/>
        <w:jc w:val="left"/>
        <w:rPr/>
      </w:pPr>
      <w:r>
        <w:rPr>
          <w:rStyle w:val="StrongEmphasis"/>
        </w:rPr>
        <w:t>Adopción y cambio cultural</w:t>
      </w:r>
      <w:r>
        <w:rPr/>
        <w:br/>
        <w:t xml:space="preserve">Muchas desarrolladoras y estudios siguen enamorados del Excel. La venta debe enfocarse en </w:t>
      </w:r>
      <w:r>
        <w:rPr>
          <w:rStyle w:val="StrongEmphasis"/>
        </w:rPr>
        <w:t>ROI concreto</w:t>
      </w:r>
      <w:r>
        <w:rPr/>
        <w:t xml:space="preserve"> (menos devoluciones, más cierres, menos horas de soporte a inversores).</w:t>
      </w:r>
    </w:p>
    <w:p>
      <w:pPr>
        <w:pStyle w:val="TextBody"/>
        <w:numPr>
          <w:ilvl w:val="0"/>
          <w:numId w:val="23"/>
        </w:numPr>
        <w:tabs>
          <w:tab w:val="clear" w:pos="709"/>
          <w:tab w:val="left" w:pos="707" w:leader="none"/>
        </w:tabs>
        <w:bidi w:val="0"/>
        <w:ind w:left="707" w:hanging="283"/>
        <w:jc w:val="left"/>
        <w:rPr/>
      </w:pPr>
      <w:r>
        <w:rPr>
          <w:rStyle w:val="StrongEmphasis"/>
        </w:rPr>
        <w:t>Dependencia de un solo socio estrella</w:t>
      </w:r>
      <w:r>
        <w:rPr/>
        <w:br/>
        <w:t xml:space="preserve">Tener al “mejor vendedor RE/MAX 2024” es una fortaleza, pero también un riesgo de concentración. Idealmente, escalar a </w:t>
      </w:r>
      <w:r>
        <w:rPr>
          <w:rStyle w:val="StrongEmphasis"/>
        </w:rPr>
        <w:t>red de champions</w:t>
      </w:r>
      <w:r>
        <w:rPr/>
        <w:t xml:space="preserve"> en varias ciudades y marcas.</w:t>
      </w:r>
    </w:p>
    <w:p>
      <w:pPr>
        <w:pStyle w:val="TextBody"/>
        <w:numPr>
          <w:ilvl w:val="0"/>
          <w:numId w:val="23"/>
        </w:numPr>
        <w:tabs>
          <w:tab w:val="clear" w:pos="709"/>
          <w:tab w:val="left" w:pos="707" w:leader="none"/>
        </w:tabs>
        <w:bidi w:val="0"/>
        <w:ind w:left="707" w:hanging="283"/>
        <w:jc w:val="left"/>
        <w:rPr/>
      </w:pPr>
      <w:r>
        <w:rPr>
          <w:rStyle w:val="StrongEmphasis"/>
        </w:rPr>
        <w:t>Conflicto con herramientas existentes</w:t>
      </w:r>
      <w:r>
        <w:rPr/>
        <w:br/>
        <w:t>Algunas inmobiliarias ya usan CRMs (Tokko, etc.). Deben posicionar Vertice360 como:</w:t>
      </w:r>
    </w:p>
    <w:p>
      <w:pPr>
        <w:pStyle w:val="Quotations"/>
        <w:numPr>
          <w:ilvl w:val="0"/>
          <w:numId w:val="0"/>
        </w:numPr>
        <w:bidi w:val="0"/>
        <w:ind w:left="1274" w:right="567" w:hanging="0"/>
        <w:jc w:val="left"/>
        <w:rPr/>
      </w:pPr>
      <w:r>
        <w:rPr/>
        <w:t>“</w:t>
      </w:r>
      <w:r>
        <w:rPr/>
        <w:t>Capa especializada en proyectos en pozo que convive con tu CRM actual”</w:t>
        <w:br/>
        <w:t>más que como reemplazo frontal, al menos en la entrada.</w:t>
      </w:r>
    </w:p>
    <w:p>
      <w:pPr>
        <w:pStyle w:val="Heading3"/>
        <w:bidi w:val="0"/>
        <w:jc w:val="left"/>
        <w:rPr/>
      </w:pPr>
      <w:r>
        <w:rPr/>
        <w:t>6.3 Riesgos de producto / tecnología</w:t>
      </w:r>
    </w:p>
    <w:p>
      <w:pPr>
        <w:pStyle w:val="TextBody"/>
        <w:numPr>
          <w:ilvl w:val="0"/>
          <w:numId w:val="24"/>
        </w:numPr>
        <w:tabs>
          <w:tab w:val="clear" w:pos="709"/>
          <w:tab w:val="left" w:pos="707" w:leader="none"/>
        </w:tabs>
        <w:bidi w:val="0"/>
        <w:ind w:left="707" w:hanging="283"/>
        <w:jc w:val="left"/>
        <w:rPr/>
      </w:pPr>
      <w:r>
        <w:rPr>
          <w:rStyle w:val="StrongEmphasis"/>
        </w:rPr>
        <w:t>Calidad de datos</w:t>
      </w:r>
      <w:r>
        <w:rPr/>
        <w:br/>
        <w:t>Si los datos de unidades, precios y pagos no están actualizados, el asistente va a “mentir” bonito. Necesitan procesos claros de carga/actualización.</w:t>
      </w:r>
    </w:p>
    <w:p>
      <w:pPr>
        <w:pStyle w:val="TextBody"/>
        <w:numPr>
          <w:ilvl w:val="0"/>
          <w:numId w:val="24"/>
        </w:numPr>
        <w:tabs>
          <w:tab w:val="clear" w:pos="709"/>
          <w:tab w:val="left" w:pos="707" w:leader="none"/>
        </w:tabs>
        <w:bidi w:val="0"/>
        <w:ind w:left="707" w:hanging="283"/>
        <w:jc w:val="left"/>
        <w:rPr/>
      </w:pPr>
      <w:r>
        <w:rPr>
          <w:rStyle w:val="StrongEmphasis"/>
        </w:rPr>
        <w:t>Escalabilidad multi-tenant</w:t>
      </w:r>
      <w:r>
        <w:rPr/>
        <w:br/>
        <w:t>Si el proyecto apunta a modelo white label LATAM, la arquitectura multi-tenant, seguridad de datos y compliance (LGPD Brasil, etc.) deben estar muy bien resueltos desde temprano.</w:t>
      </w:r>
      <w:hyperlink r:id="rId12" w:tgtFrame="_blank">
        <w:r>
          <w:rPr>
            <w:rStyle w:val="InternetLink"/>
          </w:rPr>
          <w:t>PropTech Latam Summit Week 2025</w:t>
        </w:r>
      </w:hyperlink>
    </w:p>
    <w:p>
      <w:pPr>
        <w:pStyle w:val="Heading3"/>
        <w:bidi w:val="0"/>
        <w:jc w:val="left"/>
        <w:rPr/>
      </w:pPr>
      <w:r>
        <w:rPr/>
        <w:t>6.4 Riesgos financieros</w:t>
      </w:r>
    </w:p>
    <w:p>
      <w:pPr>
        <w:pStyle w:val="TextBody"/>
        <w:numPr>
          <w:ilvl w:val="0"/>
          <w:numId w:val="25"/>
        </w:numPr>
        <w:tabs>
          <w:tab w:val="clear" w:pos="709"/>
          <w:tab w:val="left" w:pos="707" w:leader="none"/>
        </w:tabs>
        <w:bidi w:val="0"/>
        <w:ind w:left="707" w:hanging="283"/>
        <w:jc w:val="left"/>
        <w:rPr/>
      </w:pPr>
      <w:r>
        <w:rPr>
          <w:rStyle w:val="StrongEmphasis"/>
        </w:rPr>
        <w:t>Subestimación de costos de implementación y soporte</w:t>
      </w:r>
      <w:r>
        <w:rPr/>
        <w:br/>
        <w:t>Si cada cliente requiere demasiada mano humana, el margen real se va a alejar del 80 %. Conviene:</w:t>
      </w:r>
    </w:p>
    <w:p>
      <w:pPr>
        <w:pStyle w:val="TextBody"/>
        <w:numPr>
          <w:ilvl w:val="1"/>
          <w:numId w:val="25"/>
        </w:numPr>
        <w:tabs>
          <w:tab w:val="clear" w:pos="709"/>
          <w:tab w:val="left" w:pos="1414" w:leader="none"/>
        </w:tabs>
        <w:bidi w:val="0"/>
        <w:ind w:left="1414" w:hanging="283"/>
        <w:jc w:val="left"/>
        <w:rPr/>
      </w:pPr>
      <w:r>
        <w:rPr/>
        <w:t>Estándar fuerte para estructura de datos de proyecto.</w:t>
      </w:r>
    </w:p>
    <w:p>
      <w:pPr>
        <w:pStyle w:val="TextBody"/>
        <w:numPr>
          <w:ilvl w:val="1"/>
          <w:numId w:val="25"/>
        </w:numPr>
        <w:tabs>
          <w:tab w:val="clear" w:pos="709"/>
          <w:tab w:val="left" w:pos="1414" w:leader="none"/>
        </w:tabs>
        <w:bidi w:val="0"/>
        <w:ind w:left="1414" w:hanging="283"/>
        <w:jc w:val="left"/>
        <w:rPr/>
      </w:pPr>
      <w:r>
        <w:rPr/>
        <w:t>Templates por tipo de proyecto y país.</w:t>
      </w:r>
    </w:p>
    <w:p>
      <w:pPr>
        <w:pStyle w:val="TextBody"/>
        <w:numPr>
          <w:ilvl w:val="0"/>
          <w:numId w:val="25"/>
        </w:numPr>
        <w:tabs>
          <w:tab w:val="clear" w:pos="709"/>
          <w:tab w:val="left" w:pos="707" w:leader="none"/>
        </w:tabs>
        <w:bidi w:val="0"/>
        <w:ind w:left="707" w:hanging="283"/>
        <w:jc w:val="left"/>
        <w:rPr/>
      </w:pPr>
      <w:r>
        <w:rPr>
          <w:rStyle w:val="StrongEmphasis"/>
        </w:rPr>
        <w:t>Descalce de monedas</w:t>
      </w:r>
      <w:r>
        <w:rPr/>
        <w:br/>
        <w:t>Ingresos mayormente en USD, costos mezclados (ARS + USD). Puede ser ventaja (costos locales baratos), pero también riesgo si sube el costo en dólares (infraestructura, IA, etc.).</w:t>
      </w:r>
    </w:p>
    <w:p>
      <w:pPr>
        <w:pStyle w:val="HorizontalLine"/>
        <w:bidi w:val="0"/>
        <w:jc w:val="left"/>
        <w:rPr/>
      </w:pPr>
      <w:r>
        <w:rPr/>
      </w:r>
    </w:p>
    <w:p>
      <w:pPr>
        <w:pStyle w:val="Heading2"/>
        <w:bidi w:val="0"/>
        <w:jc w:val="left"/>
        <w:rPr/>
      </w:pPr>
      <w:r>
        <w:rPr/>
        <w:t>7. Rol del socio y estrategia de ventas</w:t>
      </w:r>
    </w:p>
    <w:p>
      <w:pPr>
        <w:pStyle w:val="TextBody"/>
        <w:bidi w:val="0"/>
        <w:spacing w:lineRule="auto" w:line="276" w:before="0" w:after="140"/>
        <w:jc w:val="left"/>
        <w:rPr/>
      </w:pPr>
      <w:r>
        <w:rPr/>
        <w:t>Con el perfil que comentás (ustedes tech/AI + mejor vendedor RE/MAX 2024 + contactos con desarrolladoras), yo estructuraría así:</w:t>
      </w:r>
    </w:p>
    <w:p>
      <w:pPr>
        <w:pStyle w:val="TextBody"/>
        <w:numPr>
          <w:ilvl w:val="0"/>
          <w:numId w:val="26"/>
        </w:numPr>
        <w:tabs>
          <w:tab w:val="clear" w:pos="709"/>
          <w:tab w:val="left" w:pos="707" w:leader="none"/>
        </w:tabs>
        <w:bidi w:val="0"/>
        <w:ind w:left="707" w:hanging="283"/>
        <w:jc w:val="left"/>
        <w:rPr/>
      </w:pPr>
      <w:r>
        <w:rPr>
          <w:rStyle w:val="StrongEmphasis"/>
        </w:rPr>
        <w:t>Fase 0 – Casos de uso bandera (Argentina)</w:t>
      </w:r>
    </w:p>
    <w:p>
      <w:pPr>
        <w:pStyle w:val="TextBody"/>
        <w:numPr>
          <w:ilvl w:val="1"/>
          <w:numId w:val="26"/>
        </w:numPr>
        <w:tabs>
          <w:tab w:val="clear" w:pos="709"/>
          <w:tab w:val="left" w:pos="1414" w:leader="none"/>
        </w:tabs>
        <w:bidi w:val="0"/>
        <w:ind w:left="1414" w:hanging="283"/>
        <w:jc w:val="left"/>
        <w:rPr/>
      </w:pPr>
      <w:r>
        <w:rPr/>
        <w:t>2–3 desarrolladoras con alto volumen en pozo.</w:t>
      </w:r>
    </w:p>
    <w:p>
      <w:pPr>
        <w:pStyle w:val="TextBody"/>
        <w:numPr>
          <w:ilvl w:val="1"/>
          <w:numId w:val="26"/>
        </w:numPr>
        <w:tabs>
          <w:tab w:val="clear" w:pos="709"/>
          <w:tab w:val="left" w:pos="1414" w:leader="none"/>
        </w:tabs>
        <w:bidi w:val="0"/>
        <w:ind w:left="1414" w:hanging="283"/>
        <w:jc w:val="left"/>
        <w:rPr/>
      </w:pPr>
      <w:r>
        <w:rPr/>
        <w:t>Objetivo: obtener en 3–6 meses:</w:t>
      </w:r>
    </w:p>
    <w:p>
      <w:pPr>
        <w:pStyle w:val="TextBody"/>
        <w:numPr>
          <w:ilvl w:val="2"/>
          <w:numId w:val="26"/>
        </w:numPr>
        <w:tabs>
          <w:tab w:val="clear" w:pos="709"/>
          <w:tab w:val="left" w:pos="2121" w:leader="none"/>
        </w:tabs>
        <w:bidi w:val="0"/>
        <w:ind w:left="2121" w:hanging="283"/>
        <w:jc w:val="left"/>
        <w:rPr/>
      </w:pPr>
      <w:r>
        <w:rPr/>
        <w:t>% mejora en conversión lead→reserva.</w:t>
      </w:r>
    </w:p>
    <w:p>
      <w:pPr>
        <w:pStyle w:val="TextBody"/>
        <w:numPr>
          <w:ilvl w:val="2"/>
          <w:numId w:val="26"/>
        </w:numPr>
        <w:tabs>
          <w:tab w:val="clear" w:pos="709"/>
          <w:tab w:val="left" w:pos="2121" w:leader="none"/>
        </w:tabs>
        <w:bidi w:val="0"/>
        <w:ind w:left="2121" w:hanging="283"/>
        <w:jc w:val="left"/>
        <w:rPr/>
      </w:pPr>
      <w:r>
        <w:rPr/>
        <w:t>Reducción de devoluciones.</w:t>
      </w:r>
    </w:p>
    <w:p>
      <w:pPr>
        <w:pStyle w:val="TextBody"/>
        <w:numPr>
          <w:ilvl w:val="2"/>
          <w:numId w:val="26"/>
        </w:numPr>
        <w:tabs>
          <w:tab w:val="clear" w:pos="709"/>
          <w:tab w:val="left" w:pos="2121" w:leader="none"/>
        </w:tabs>
        <w:bidi w:val="0"/>
        <w:ind w:left="2121" w:hanging="283"/>
        <w:jc w:val="left"/>
        <w:rPr/>
      </w:pPr>
      <w:r>
        <w:rPr/>
        <w:t>Ahorro en horas de soporte a inversores.</w:t>
      </w:r>
    </w:p>
    <w:p>
      <w:pPr>
        <w:pStyle w:val="TextBody"/>
        <w:numPr>
          <w:ilvl w:val="1"/>
          <w:numId w:val="26"/>
        </w:numPr>
        <w:tabs>
          <w:tab w:val="clear" w:pos="709"/>
          <w:tab w:val="left" w:pos="1414" w:leader="none"/>
        </w:tabs>
        <w:bidi w:val="0"/>
        <w:ind w:left="1414" w:hanging="283"/>
        <w:jc w:val="left"/>
        <w:rPr/>
      </w:pPr>
      <w:r>
        <w:rPr/>
        <w:t xml:space="preserve">Con esos números, arman </w:t>
      </w:r>
      <w:r>
        <w:rPr>
          <w:rStyle w:val="StrongEmphasis"/>
        </w:rPr>
        <w:t>speech de venta killer</w:t>
      </w:r>
      <w:r>
        <w:rPr/>
        <w:t xml:space="preserve"> (como el ROI 10x en 60 días que ya plantearon).</w:t>
      </w:r>
    </w:p>
    <w:p>
      <w:pPr>
        <w:pStyle w:val="TextBody"/>
        <w:numPr>
          <w:ilvl w:val="0"/>
          <w:numId w:val="27"/>
        </w:numPr>
        <w:tabs>
          <w:tab w:val="clear" w:pos="709"/>
          <w:tab w:val="left" w:pos="707" w:leader="none"/>
        </w:tabs>
        <w:bidi w:val="0"/>
        <w:ind w:left="707" w:hanging="283"/>
        <w:jc w:val="left"/>
        <w:rPr/>
      </w:pPr>
      <w:r>
        <w:rPr>
          <w:rStyle w:val="StrongEmphasis"/>
        </w:rPr>
        <w:t>Fase 1 – Paquete “Vertice360 para redes inmobiliarias” (Argentina + Chile + Colombia)</w:t>
      </w:r>
    </w:p>
    <w:p>
      <w:pPr>
        <w:pStyle w:val="TextBody"/>
        <w:numPr>
          <w:ilvl w:val="1"/>
          <w:numId w:val="27"/>
        </w:numPr>
        <w:tabs>
          <w:tab w:val="clear" w:pos="709"/>
          <w:tab w:val="left" w:pos="1414" w:leader="none"/>
        </w:tabs>
        <w:bidi w:val="0"/>
        <w:ind w:left="1414" w:hanging="283"/>
        <w:jc w:val="left"/>
        <w:rPr/>
      </w:pPr>
      <w:r>
        <w:rPr/>
        <w:t>Oferta específica para oficinas o regiones:</w:t>
        <w:br/>
        <w:t>“Te damos un módulo de ventas en pozo listo para tus desarrollos asociados, bajo tu marca.”</w:t>
      </w:r>
    </w:p>
    <w:p>
      <w:pPr>
        <w:pStyle w:val="TextBody"/>
        <w:numPr>
          <w:ilvl w:val="1"/>
          <w:numId w:val="27"/>
        </w:numPr>
        <w:tabs>
          <w:tab w:val="clear" w:pos="709"/>
          <w:tab w:val="left" w:pos="1414" w:leader="none"/>
        </w:tabs>
        <w:bidi w:val="0"/>
        <w:ind w:left="1414" w:hanging="283"/>
        <w:jc w:val="left"/>
        <w:rPr/>
      </w:pPr>
      <w:r>
        <w:rPr/>
        <w:t>Revenue share claro con el socio estrella para incentivarlo a abrir puertas.</w:t>
      </w:r>
    </w:p>
    <w:p>
      <w:pPr>
        <w:pStyle w:val="TextBody"/>
        <w:numPr>
          <w:ilvl w:val="0"/>
          <w:numId w:val="27"/>
        </w:numPr>
        <w:tabs>
          <w:tab w:val="clear" w:pos="709"/>
          <w:tab w:val="left" w:pos="707" w:leader="none"/>
        </w:tabs>
        <w:bidi w:val="0"/>
        <w:ind w:left="707" w:hanging="283"/>
        <w:jc w:val="left"/>
        <w:rPr/>
      </w:pPr>
      <w:r>
        <w:rPr>
          <w:rStyle w:val="StrongEmphasis"/>
        </w:rPr>
        <w:t>Fase 2 – White label LATAM para desarrolladoras medianas/grandes</w:t>
      </w:r>
    </w:p>
    <w:p>
      <w:pPr>
        <w:pStyle w:val="TextBody"/>
        <w:numPr>
          <w:ilvl w:val="1"/>
          <w:numId w:val="27"/>
        </w:numPr>
        <w:tabs>
          <w:tab w:val="clear" w:pos="709"/>
          <w:tab w:val="left" w:pos="1414" w:leader="none"/>
        </w:tabs>
        <w:bidi w:val="0"/>
        <w:ind w:left="1414" w:hanging="283"/>
        <w:jc w:val="left"/>
        <w:rPr/>
      </w:pPr>
      <w:r>
        <w:rPr/>
        <w:t xml:space="preserve">Propuesta: </w:t>
      </w:r>
      <w:r>
        <w:rPr>
          <w:rStyle w:val="StrongEmphasis"/>
        </w:rPr>
        <w:t>dashboard bajo su marca</w:t>
      </w:r>
      <w:r>
        <w:rPr/>
        <w:t xml:space="preserve"> para todos sus proyectos, con canal directo al inversor.</w:t>
      </w:r>
    </w:p>
    <w:p>
      <w:pPr>
        <w:pStyle w:val="TextBody"/>
        <w:numPr>
          <w:ilvl w:val="1"/>
          <w:numId w:val="27"/>
        </w:numPr>
        <w:tabs>
          <w:tab w:val="clear" w:pos="709"/>
          <w:tab w:val="left" w:pos="1414" w:leader="none"/>
        </w:tabs>
        <w:bidi w:val="0"/>
        <w:ind w:left="1414" w:hanging="283"/>
        <w:jc w:val="left"/>
        <w:rPr/>
      </w:pPr>
      <w:r/>
      <w:r>
        <w:t>Foco en México y Colombia, donde la inversión inmobiliaria regional muestra crecimiento sostenido y el ecosistema proptech acelera (IMARC Group, 2025).</w:t>
      </w:r>
    </w:p>
    <w:p>
      <w:pPr>
        <w:pStyle w:val="Heading2"/>
        <w:bidi w:val="0"/>
        <w:jc w:val="left"/>
        <w:rPr/>
      </w:pPr>
      <w:r>
        <w:rPr/>
        <w:t>8. Conclusión</w:t>
      </w:r>
    </w:p>
    <w:p>
      <w:pPr>
        <w:pStyle w:val="TextBody"/>
        <w:numPr>
          <w:ilvl w:val="0"/>
          <w:numId w:val="28"/>
        </w:numPr>
        <w:tabs>
          <w:tab w:val="clear" w:pos="709"/>
          <w:tab w:val="left" w:pos="707" w:leader="none"/>
        </w:tabs>
        <w:bidi w:val="0"/>
        <w:ind w:left="707" w:hanging="283"/>
        <w:jc w:val="left"/>
        <w:rPr/>
      </w:pPr>
      <w:r>
        <w:rPr>
          <w:rStyle w:val="StrongEmphasis"/>
        </w:rPr>
        <w:t>Desde ventas:</w:t>
      </w:r>
      <w:r>
        <w:rPr/>
        <w:br/>
        <w:t xml:space="preserve">El proyecto tiene un nicho clarísimo, mucho dolor, una propuesta de valor muy bien redactada y un ancla comercial de lujo (top vendedor ). La clave será vender </w:t>
      </w:r>
      <w:r>
        <w:rPr>
          <w:rStyle w:val="StrongEmphasis"/>
        </w:rPr>
        <w:t>ROI medible</w:t>
      </w:r>
      <w:r>
        <w:rPr/>
        <w:t xml:space="preserve"> y no “features”.</w:t>
      </w:r>
    </w:p>
    <w:p>
      <w:pPr>
        <w:pStyle w:val="TextBody"/>
        <w:numPr>
          <w:ilvl w:val="0"/>
          <w:numId w:val="28"/>
        </w:numPr>
        <w:tabs>
          <w:tab w:val="clear" w:pos="709"/>
          <w:tab w:val="left" w:pos="707" w:leader="none"/>
        </w:tabs>
        <w:bidi w:val="0"/>
        <w:ind w:left="707" w:hanging="283"/>
        <w:jc w:val="left"/>
        <w:rPr/>
      </w:pPr>
      <w:r>
        <w:rPr>
          <w:rStyle w:val="StrongEmphasis"/>
        </w:rPr>
        <w:t>Desde finanzas:</w:t>
      </w:r>
      <w:r>
        <w:rPr/>
        <w:br/>
        <w:t>Los números que plantean (84k Año 1 / ~300k Año 2 con 30 clientes) son razonables si ejecutan bien el go-to-market. El upside a 600–700k+ Año 3 con 50+ proyectos es alcanzable, pero exige:</w:t>
      </w:r>
    </w:p>
    <w:p>
      <w:pPr>
        <w:pStyle w:val="TextBody"/>
        <w:numPr>
          <w:ilvl w:val="1"/>
          <w:numId w:val="28"/>
        </w:numPr>
        <w:tabs>
          <w:tab w:val="clear" w:pos="709"/>
          <w:tab w:val="left" w:pos="1414" w:leader="none"/>
        </w:tabs>
        <w:bidi w:val="0"/>
        <w:ind w:left="1414" w:hanging="283"/>
        <w:jc w:val="left"/>
        <w:rPr/>
      </w:pPr>
      <w:r>
        <w:rPr/>
        <w:t>Producto robusto multi-tenant.</w:t>
      </w:r>
    </w:p>
    <w:p>
      <w:pPr>
        <w:pStyle w:val="TextBody"/>
        <w:numPr>
          <w:ilvl w:val="1"/>
          <w:numId w:val="28"/>
        </w:numPr>
        <w:tabs>
          <w:tab w:val="clear" w:pos="709"/>
          <w:tab w:val="left" w:pos="1414" w:leader="none"/>
        </w:tabs>
        <w:bidi w:val="0"/>
        <w:ind w:left="1414" w:hanging="283"/>
        <w:jc w:val="left"/>
        <w:rPr/>
      </w:pPr>
      <w:r>
        <w:rPr/>
        <w:t>Procesos de implementación muy estandarizados.</w:t>
      </w:r>
    </w:p>
    <w:p>
      <w:pPr>
        <w:pStyle w:val="TextBody"/>
        <w:numPr>
          <w:ilvl w:val="1"/>
          <w:numId w:val="28"/>
        </w:numPr>
        <w:tabs>
          <w:tab w:val="clear" w:pos="709"/>
          <w:tab w:val="left" w:pos="1414" w:leader="none"/>
        </w:tabs>
        <w:bidi w:val="0"/>
        <w:spacing w:before="0" w:after="140"/>
        <w:ind w:left="1414" w:hanging="283"/>
        <w:jc w:val="left"/>
        <w:rPr/>
      </w:pPr>
      <w:r>
        <w:rPr/>
        <w:t>Canal de ventas replicable más allá del socio inicial.</w:t>
      </w:r>
    </w:p>
    <w:p>
      <w:pPr>
        <w:pStyle w:val="Heading2"/>
      </w:pPr>
      <w:r>
        <w:t>9. Referencias (selección)</w:t>
      </w:r>
    </w:p>
    <w:p>
      <w:pPr>
        <w:pStyle w:val="TextBody"/>
      </w:pPr>
      <w:r>
        <w:t>• Market Data Forecast (2025). Latin America Real Estate Market (2024-2033). https://www.marketdataforecast.com/market-reports/latin-america-real-estate-market</w:t>
      </w:r>
    </w:p>
    <w:p>
      <w:pPr>
        <w:pStyle w:val="TextBody"/>
      </w:pPr>
      <w:r>
        <w:t>• Mordor Intelligence (2026). Residential Real Estate Market in Latin America (2025-2031). https://www.mordorintelligence.com/industry-reports/residential-real-estate-market-in-latin-america</w:t>
      </w:r>
    </w:p>
    <w:p>
      <w:pPr>
        <w:pStyle w:val="TextBody"/>
      </w:pPr>
      <w:r>
        <w:t>• GSMA (2024). The Mobile Economy Latin America 2024. https://www.gsma.com/about-us/regions/latin-america/gsma_resources/la-economia-movil-en-america-latina-2024/</w:t>
      </w:r>
    </w:p>
    <w:p>
      <w:pPr>
        <w:pStyle w:val="TextBody"/>
      </w:pPr>
      <w:r>
        <w:t>• Inter-American Development Bank (2022). Housing Forum 2022: Resilient solutions to reduce the housing deficit in Latin America and the Caribbean. https://publications.iadb.org/en/housing-forum-2022-resilient-solutions-reduce-housing-deficit-latin-america-and-caribbean</w:t>
      </w:r>
    </w:p>
    <w:p>
      <w:pPr>
        <w:pStyle w:val="TextBody"/>
      </w:pPr>
      <w:r>
        <w:t>• DataReportal (2025). Digital 2025 July Global Statshot (WhatsApp usage). https://datareportal.com/reports/digital-2025-july-global-statshot</w:t>
      </w:r>
    </w:p>
    <w:p>
      <w:pPr>
        <w:pStyle w:val="TextBody"/>
      </w:pPr>
      <w:r>
        <w:t>• Tokko Broker (2026). Planes y precios (Argentina). https://www.tokkobroker.com/es-ar/planes-y-precios</w:t>
      </w:r>
    </w:p>
    <w:p>
      <w:pPr>
        <w:pStyle w:val="TextBody"/>
      </w:pPr>
      <w:r>
        <w:t>• IMARC Group (2025). Latin America Real Estate Investment Market. https://www.imarcgroup.com/latin-america-real-estate-investment-market</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4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lang w:val="zxx" w:eastAsia="zxx" w:bidi="zxx"/>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uzd.com/es/blog/conoce-el-mercado-inmobiliario-latinoamericano-para-2024/?utm_source=chatgpt.com" TargetMode="External"/><Relationship Id="rId3" Type="http://schemas.openxmlformats.org/officeDocument/2006/relationships/hyperlink" Target="https://www.marketdataforecast.com/market-reports/latin-america-real-estate-market?utm_source=chatgpt.com" TargetMode="External"/><Relationship Id="rId4" Type="http://schemas.openxmlformats.org/officeDocument/2006/relationships/hyperlink" Target="https://www.mordorintelligence.ar/industry-reports/residential-real-estate-market-in-latin-america?utm_source=chatgpt.com" TargetMode="External"/><Relationship Id="rId5" Type="http://schemas.openxmlformats.org/officeDocument/2006/relationships/hyperlink" Target="https://proptechlatamsummit.com/wp-content/uploads/2023/05/PL-Estado-del-PropTech-en-Latam-2023.pdf?utm_source=chatgpt.com" TargetMode="External"/><Relationship Id="rId6" Type="http://schemas.openxmlformats.org/officeDocument/2006/relationships/hyperlink" Target="https://www.tokkobroker.com/?utm_source=chatgpt.com" TargetMode="External"/><Relationship Id="rId7" Type="http://schemas.openxmlformats.org/officeDocument/2006/relationships/hyperlink" Target="https://www.tokkobroker.com/?utm_source=chatgpt.com" TargetMode="External"/><Relationship Id="rId8" Type="http://schemas.openxmlformats.org/officeDocument/2006/relationships/hyperlink" Target="https://www.consultoriacrm.ec/blog/crm-inmobiliario?utm_source=chatgpt.com" TargetMode="External"/><Relationship Id="rId9" Type="http://schemas.openxmlformats.org/officeDocument/2006/relationships/hyperlink" Target="https://mudafy.com.ar/blog/post/mudafy-anuncia-su-serie-a-por-usd-10-millones-liderada-por-founders-fund?utm_source=chatgpt.com" TargetMode="External"/><Relationship Id="rId10" Type="http://schemas.openxmlformats.org/officeDocument/2006/relationships/hyperlink" Target="https://www.getapp.com/real-estate-property-software/real-estate-management/f/lead-generation/?utm_source=chatgpt.com" TargetMode="External"/><Relationship Id="rId11" Type="http://schemas.openxmlformats.org/officeDocument/2006/relationships/hyperlink" Target="https://www.adventuresincre.com/explorando-mercados-inmobiliarios-america-latina-argentina/?utm_source=chatgpt.com" TargetMode="External"/><Relationship Id="rId12" Type="http://schemas.openxmlformats.org/officeDocument/2006/relationships/hyperlink" Target="https://proptechlatamsummit.com/wp-content/uploads/2023/05/PL-Estado-del-PropTech-en-Latam-2023.pdf?utm_source=chatgpt.com" TargetMode="External"/><Relationship Id="rId13" Type="http://schemas.openxmlformats.org/officeDocument/2006/relationships/hyperlink" Target="https://www.imarcgroup.com/latin-america-real-estate-investment-market?utm_source=chatgpt.com"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8</TotalTime>
  <Application>LibreOffice/6.4.7.2$Linux_X86_64 LibreOffice_project/40$Build-2</Application>
  <Pages>8</Pages>
  <Words>2163</Words>
  <Characters>11291</Characters>
  <CharactersWithSpaces>13161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2025-12-02T11:26:41Z</dcterms:created>
  <dc:creator/>
  <dc:description/>
  <dc:language>en-US</dc:language>
  <cp:lastModifiedBy/>
  <dcterms:modified xsi:type="dcterms:W3CDTF">2025-12-02T11:57:10Z</dcterms:modified>
  <cp:revision>4</cp:revision>
  <dc:subject/>
  <dc:title/>
</cp:coreProperties>
</file>