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bidi w:val="0"/>
        <w:spacing w:before="240" w:after="120"/>
        <w:jc w:val="left"/>
        <w:rPr>
          <w:sz w:val="28"/>
          <w:szCs w:val="28"/>
        </w:rPr>
      </w:pPr>
      <w:r>
        <w:rPr>
          <w:sz w:val="28"/>
          <w:szCs w:val="28"/>
        </w:rPr>
        <w:t>ConciAI — Documento Ejecutivo con Leading Case (FCE – UBA)</w:t>
      </w:r>
    </w:p>
    <w:p>
      <w:pPr>
        <w:pStyle w:val="Heading2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1. Resumen Ejecutivo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sz w:val="22"/>
          <w:szCs w:val="22"/>
        </w:rPr>
        <w:t xml:space="preserve">ConciAI es una solución de </w:t>
      </w:r>
      <w:r>
        <w:rPr>
          <w:rStyle w:val="StrongEmphasis"/>
          <w:sz w:val="22"/>
          <w:szCs w:val="22"/>
        </w:rPr>
        <w:t>conciliación bancaria y contable</w:t>
      </w:r>
      <w:r>
        <w:rPr>
          <w:sz w:val="22"/>
          <w:szCs w:val="22"/>
        </w:rPr>
        <w:t xml:space="preserve"> con </w:t>
      </w:r>
      <w:r>
        <w:rPr>
          <w:rStyle w:val="StrongEmphasis"/>
          <w:sz w:val="22"/>
          <w:szCs w:val="22"/>
        </w:rPr>
        <w:t>experiencia conversacional</w:t>
      </w:r>
      <w:r>
        <w:rPr>
          <w:sz w:val="22"/>
          <w:szCs w:val="22"/>
        </w:rPr>
        <w:t xml:space="preserve"> que automatiza el cruce entre </w:t>
      </w:r>
      <w:r>
        <w:rPr>
          <w:rStyle w:val="StrongEmphasis"/>
          <w:sz w:val="22"/>
          <w:szCs w:val="22"/>
        </w:rPr>
        <w:t>extractos de bancos</w:t>
      </w:r>
      <w:r>
        <w:rPr>
          <w:sz w:val="22"/>
          <w:szCs w:val="22"/>
        </w:rPr>
        <w:t xml:space="preserve"> y </w:t>
      </w:r>
      <w:r>
        <w:rPr>
          <w:rStyle w:val="StrongEmphasis"/>
          <w:sz w:val="22"/>
          <w:szCs w:val="22"/>
        </w:rPr>
        <w:t>registros contables</w:t>
      </w:r>
      <w:r>
        <w:rPr>
          <w:sz w:val="22"/>
          <w:szCs w:val="22"/>
        </w:rPr>
        <w:t xml:space="preserve">. El objetivo es reducir tiempos y errores, brindar </w:t>
      </w:r>
      <w:r>
        <w:rPr>
          <w:rStyle w:val="StrongEmphasis"/>
          <w:sz w:val="22"/>
          <w:szCs w:val="22"/>
        </w:rPr>
        <w:t>trazabilidad total</w:t>
      </w:r>
      <w:r>
        <w:rPr>
          <w:sz w:val="22"/>
          <w:szCs w:val="22"/>
        </w:rPr>
        <w:t xml:space="preserve"> y ofrecer </w:t>
      </w:r>
      <w:r>
        <w:rPr>
          <w:rStyle w:val="StrongEmphasis"/>
          <w:sz w:val="22"/>
          <w:szCs w:val="22"/>
        </w:rPr>
        <w:t>reportes ejecutivos y operativos</w:t>
      </w:r>
      <w:r>
        <w:rPr>
          <w:sz w:val="22"/>
          <w:szCs w:val="22"/>
        </w:rPr>
        <w:t xml:space="preserve"> listos para auditoría.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sz w:val="22"/>
          <w:szCs w:val="22"/>
        </w:rPr>
        <w:t xml:space="preserve">Como parte del </w:t>
      </w:r>
      <w:r>
        <w:rPr>
          <w:rStyle w:val="StrongEmphasis"/>
          <w:sz w:val="22"/>
          <w:szCs w:val="22"/>
        </w:rPr>
        <w:t>Leading Case</w:t>
      </w:r>
      <w:r>
        <w:rPr>
          <w:sz w:val="22"/>
          <w:szCs w:val="22"/>
        </w:rPr>
        <w:t xml:space="preserve"> con la </w:t>
      </w:r>
      <w:r>
        <w:rPr>
          <w:rStyle w:val="StrongEmphasis"/>
          <w:sz w:val="22"/>
          <w:szCs w:val="22"/>
        </w:rPr>
        <w:t>Facultad de Ciencias Económicas de la UBA (FCE–UBA)</w:t>
      </w:r>
      <w:r>
        <w:rPr>
          <w:sz w:val="22"/>
          <w:szCs w:val="22"/>
        </w:rPr>
        <w:t>, realizamos un análisis inicial sobre: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Banco Ciudad — Mes de julio</w:t>
      </w:r>
      <w:r>
        <w:rPr>
          <w:sz w:val="22"/>
          <w:szCs w:val="22"/>
        </w:rPr>
        <w:t xml:space="preserve"> (mes completo).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Banco Santander — 1 mes de referencia</w:t>
      </w:r>
      <w:r>
        <w:rPr>
          <w:sz w:val="22"/>
          <w:szCs w:val="22"/>
        </w:rPr>
        <w:t>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Banco Patagonia — 1 mes de referencia</w:t>
      </w:r>
      <w:r>
        <w:rPr>
          <w:sz w:val="22"/>
          <w:szCs w:val="22"/>
        </w:rPr>
        <w:t>.</w:t>
      </w:r>
    </w:p>
    <w:p>
      <w:pPr>
        <w:pStyle w:val="TextBody"/>
        <w:bidi w:val="0"/>
        <w:jc w:val="left"/>
        <w:rPr/>
      </w:pPr>
      <w:r>
        <w:rPr>
          <w:sz w:val="22"/>
          <w:szCs w:val="22"/>
        </w:rPr>
        <w:t xml:space="preserve">Este caso de estudio permite validar la </w:t>
      </w:r>
      <w:r>
        <w:rPr>
          <w:rStyle w:val="StrongEmphasis"/>
          <w:sz w:val="22"/>
          <w:szCs w:val="22"/>
        </w:rPr>
        <w:t>eficiencia</w:t>
      </w:r>
      <w:r>
        <w:rPr>
          <w:sz w:val="22"/>
          <w:szCs w:val="22"/>
        </w:rPr>
        <w:t xml:space="preserve">, </w:t>
      </w:r>
      <w:r>
        <w:rPr>
          <w:rStyle w:val="StrongEmphasis"/>
          <w:sz w:val="22"/>
          <w:szCs w:val="22"/>
        </w:rPr>
        <w:t>calidad de datos</w:t>
      </w:r>
      <w:r>
        <w:rPr>
          <w:sz w:val="22"/>
          <w:szCs w:val="22"/>
        </w:rPr>
        <w:t xml:space="preserve"> y </w:t>
      </w:r>
      <w:r>
        <w:rPr>
          <w:rStyle w:val="StrongEmphasis"/>
          <w:sz w:val="22"/>
          <w:szCs w:val="22"/>
        </w:rPr>
        <w:t>experiencia de usuario</w:t>
      </w:r>
      <w:r>
        <w:rPr>
          <w:sz w:val="22"/>
          <w:szCs w:val="22"/>
        </w:rPr>
        <w:t xml:space="preserve"> de ConciAI en un entorno real.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2. ¿Qué obtiene la organización?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Conciliación automática</w:t>
      </w:r>
      <w:r>
        <w:rPr>
          <w:sz w:val="22"/>
          <w:szCs w:val="22"/>
        </w:rPr>
        <w:t xml:space="preserve"> por etapas (coincidencia directa por fecha e importe, ventana de fechas para desfases, patrones como “Comisión + IVA”, y sugerencias para casos dudosos).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Gestión clara de pendientes</w:t>
      </w:r>
      <w:r>
        <w:rPr>
          <w:sz w:val="22"/>
          <w:szCs w:val="22"/>
        </w:rPr>
        <w:t xml:space="preserve"> (razones, responsables y acciones sugeridas).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Asistente conversacional</w:t>
      </w:r>
      <w:r>
        <w:rPr>
          <w:sz w:val="22"/>
          <w:szCs w:val="22"/>
        </w:rPr>
        <w:t xml:space="preserve"> para consultar y operar en lenguaje natural (ej.: “mostrar transferencias con diferencias entre el 10 y el 20”).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Reportes ejecutivos y operativos</w:t>
      </w:r>
      <w:r>
        <w:rPr>
          <w:sz w:val="22"/>
          <w:szCs w:val="22"/>
        </w:rPr>
        <w:t xml:space="preserve"> (conciliados, pendientes, causas típicas, tendencias), exportables a Excel/CSV.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Trazabilidad completa</w:t>
      </w:r>
      <w:r>
        <w:rPr>
          <w:sz w:val="22"/>
          <w:szCs w:val="22"/>
        </w:rPr>
        <w:t xml:space="preserve"> (quién subió, quién aprobó, qué reglas se aplicaron y cuándo).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Multi-banco y multi-cuenta</w:t>
      </w:r>
      <w:r>
        <w:rPr>
          <w:sz w:val="22"/>
          <w:szCs w:val="22"/>
        </w:rPr>
        <w:t xml:space="preserve"> en una sola plataforma.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Usuarios y Roles</w:t>
      </w:r>
      <w:r>
        <w:rPr>
          <w:sz w:val="22"/>
          <w:szCs w:val="22"/>
        </w:rPr>
        <w:t xml:space="preserve"> (Admin, Operador, Auditor, Lector) con control de accesos.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3. Alcance del Leading Case (FCE–UBA)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sz w:val="22"/>
          <w:szCs w:val="22"/>
        </w:rPr>
        <w:t>Objetivo:</w:t>
      </w:r>
      <w:r>
        <w:rPr>
          <w:sz w:val="22"/>
          <w:szCs w:val="22"/>
        </w:rPr>
        <w:t xml:space="preserve"> demostrar, con datos reales, la capacidad de ConciAI para acelerar la conciliación, reducir pendientes y mejorar la visibilidad del proceso.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sz w:val="22"/>
          <w:szCs w:val="22"/>
        </w:rPr>
        <w:t>Fuentes del caso: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Banco Ciudad — Julio (mes completo).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Banco Santander — 1 mes (referencia).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Banco Patagonia — 1 mes (referencia).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Informe contable/ERP correspondiente a cada período y banco.</w:t>
      </w:r>
    </w:p>
    <w:p>
      <w:pPr>
        <w:pStyle w:val="TextBody"/>
        <w:bidi w:val="0"/>
        <w:jc w:val="left"/>
        <w:rPr/>
      </w:pPr>
      <w:r>
        <w:rPr>
          <w:rStyle w:val="StrongEmphasis"/>
          <w:sz w:val="22"/>
          <w:szCs w:val="22"/>
        </w:rPr>
        <w:t>Entregables del caso: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Resumen ejecutivo por banco y mes</w:t>
      </w:r>
      <w:r>
        <w:rPr>
          <w:sz w:val="22"/>
          <w:szCs w:val="22"/>
        </w:rPr>
        <w:t xml:space="preserve"> (porcentaje conciliado, pendientes, principales causas y recomendaciones).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Reporte de pendientes</w:t>
      </w:r>
      <w:r>
        <w:rPr>
          <w:sz w:val="22"/>
          <w:szCs w:val="22"/>
        </w:rPr>
        <w:t xml:space="preserve"> con acciones propuestas (creación de asientos, ajustes de fechas, agrupaciones tipo “Comisión + IVA”).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Lecciones aprendidas</w:t>
      </w:r>
      <w:r>
        <w:rPr>
          <w:sz w:val="22"/>
          <w:szCs w:val="22"/>
        </w:rPr>
        <w:t xml:space="preserve"> y </w:t>
      </w:r>
      <w:r>
        <w:rPr>
          <w:rStyle w:val="StrongEmphasis"/>
          <w:sz w:val="22"/>
          <w:szCs w:val="22"/>
        </w:rPr>
        <w:t>hoja de ruta</w:t>
      </w:r>
      <w:r>
        <w:rPr>
          <w:sz w:val="22"/>
          <w:szCs w:val="22"/>
        </w:rPr>
        <w:t xml:space="preserve"> de adopción (próximos pasos).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4. Metodología de trabajo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Carga de archivos</w:t>
      </w:r>
      <w:r>
        <w:rPr>
          <w:sz w:val="22"/>
          <w:szCs w:val="22"/>
        </w:rPr>
        <w:t>: extractos bancarios e informes contables del período.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Estandarización</w:t>
      </w:r>
      <w:r>
        <w:rPr>
          <w:sz w:val="22"/>
          <w:szCs w:val="22"/>
        </w:rPr>
        <w:t>: unificación de formatos; verificación de coherencias (fechas, importes, duplicados, saldos).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Conciliación en etapas</w:t>
      </w:r>
      <w:r>
        <w:rPr>
          <w:sz w:val="22"/>
          <w:szCs w:val="22"/>
        </w:rPr>
        <w:t>: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>
          <w:sz w:val="22"/>
          <w:szCs w:val="22"/>
        </w:rPr>
      </w:pPr>
      <w:r>
        <w:rPr>
          <w:sz w:val="22"/>
          <w:szCs w:val="22"/>
        </w:rPr>
        <w:t>Match directo por fecha e importe.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>
          <w:sz w:val="22"/>
          <w:szCs w:val="22"/>
        </w:rPr>
      </w:pPr>
      <w:r>
        <w:rPr>
          <w:sz w:val="22"/>
          <w:szCs w:val="22"/>
        </w:rPr>
        <w:t>Ventana de fechas para desfases operativos habituales.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>
          <w:sz w:val="22"/>
          <w:szCs w:val="22"/>
        </w:rPr>
      </w:pPr>
      <w:r>
        <w:rPr>
          <w:sz w:val="22"/>
          <w:szCs w:val="22"/>
        </w:rPr>
        <w:t>Detección de patrones (ej.: “Comisión + IVA”).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>
          <w:sz w:val="22"/>
          <w:szCs w:val="22"/>
        </w:rPr>
      </w:pPr>
      <w:r>
        <w:rPr>
          <w:sz w:val="22"/>
          <w:szCs w:val="22"/>
        </w:rPr>
        <w:t>Sugerencias inteligentes para casos grises.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Revisión y aprobación</w:t>
      </w:r>
      <w:r>
        <w:rPr>
          <w:sz w:val="22"/>
          <w:szCs w:val="22"/>
        </w:rPr>
        <w:t>: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>
          <w:sz w:val="22"/>
          <w:szCs w:val="22"/>
        </w:rPr>
      </w:pPr>
      <w:r>
        <w:rPr>
          <w:sz w:val="22"/>
          <w:szCs w:val="22"/>
        </w:rPr>
        <w:t>El equipo valida o ajusta las sugerencias.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>
          <w:sz w:val="22"/>
          <w:szCs w:val="22"/>
        </w:rPr>
      </w:pPr>
      <w:r>
        <w:rPr>
          <w:sz w:val="22"/>
          <w:szCs w:val="22"/>
        </w:rPr>
        <w:t>Flujo de aprobación configurable (una o dos firmas, según monto o política).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Resultados y reportes</w:t>
      </w:r>
      <w:r>
        <w:rPr>
          <w:sz w:val="22"/>
          <w:szCs w:val="22"/>
        </w:rPr>
        <w:t>: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>
          <w:sz w:val="22"/>
          <w:szCs w:val="22"/>
        </w:rPr>
      </w:pPr>
      <w:r>
        <w:rPr>
          <w:sz w:val="22"/>
          <w:szCs w:val="22"/>
        </w:rPr>
        <w:t>Tableros por banco y mes (conciliados, pendientes, causas, tendencias).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>
          <w:sz w:val="22"/>
          <w:szCs w:val="22"/>
        </w:rPr>
      </w:pPr>
      <w:r>
        <w:rPr>
          <w:sz w:val="22"/>
          <w:szCs w:val="22"/>
        </w:rPr>
        <w:t>Exportación a Excel/CSV para auditorías.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5. Indicadores de Éxito (KPIs)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% de conciliación automática</w:t>
      </w:r>
      <w:r>
        <w:rPr>
          <w:sz w:val="22"/>
          <w:szCs w:val="22"/>
        </w:rPr>
        <w:t xml:space="preserve"> (objetivo inicial: 80–90% en movimientos estándar).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Reducción del tiempo de conciliación</w:t>
      </w:r>
      <w:r>
        <w:rPr>
          <w:sz w:val="22"/>
          <w:szCs w:val="22"/>
        </w:rPr>
        <w:t xml:space="preserve"> por período (vs. proceso manual).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Pendientes críticos al cierre</w:t>
      </w:r>
      <w:r>
        <w:rPr>
          <w:sz w:val="22"/>
          <w:szCs w:val="22"/>
        </w:rPr>
        <w:t xml:space="preserve"> (tendencia decreciente).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Exactitud de las sugerencias</w:t>
      </w:r>
      <w:r>
        <w:rPr>
          <w:sz w:val="22"/>
          <w:szCs w:val="22"/>
        </w:rPr>
        <w:t xml:space="preserve"> del sistema (tasa de aceptación).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Trazabilidad</w:t>
      </w:r>
      <w:r>
        <w:rPr>
          <w:sz w:val="22"/>
          <w:szCs w:val="22"/>
        </w:rPr>
        <w:t>: 100% de acciones registradas (subidas, aprobaciones, reglas aplicadas).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6. Beneficios esperados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Ahorro de tiempo operativo</w:t>
      </w:r>
      <w:r>
        <w:rPr>
          <w:sz w:val="22"/>
          <w:szCs w:val="22"/>
        </w:rPr>
        <w:t xml:space="preserve"> al concentrarse en excepciones y no en tareas repetitivas.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Disminución de errores</w:t>
      </w:r>
      <w:r>
        <w:rPr>
          <w:sz w:val="22"/>
          <w:szCs w:val="22"/>
        </w:rPr>
        <w:t xml:space="preserve"> mediante reglas consistentes y aprobaciones claras.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Visibilidad en tiempo real</w:t>
      </w:r>
      <w:r>
        <w:rPr>
          <w:sz w:val="22"/>
          <w:szCs w:val="22"/>
        </w:rPr>
        <w:t xml:space="preserve"> del estado de conciliación por período, banco y cuenta.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Mejor experiencia de auditoría</w:t>
      </w:r>
      <w:r>
        <w:rPr>
          <w:sz w:val="22"/>
          <w:szCs w:val="22"/>
        </w:rPr>
        <w:t>: reportes reproducibles, con motivos, evidencias y responsables.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7. Gobierno, Usuarios y Roles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Admin</w:t>
      </w:r>
      <w:r>
        <w:rPr>
          <w:sz w:val="22"/>
          <w:szCs w:val="22"/>
        </w:rPr>
        <w:t>: configura fuentes, reglas, usuarios y políticas.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Operador</w:t>
      </w:r>
      <w:r>
        <w:rPr>
          <w:sz w:val="22"/>
          <w:szCs w:val="22"/>
        </w:rPr>
        <w:t>: ejecuta conciliaciones, gestiona pendientes y aprueba dentro de su rango.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Auditor</w:t>
      </w:r>
      <w:r>
        <w:rPr>
          <w:sz w:val="22"/>
          <w:szCs w:val="22"/>
        </w:rPr>
        <w:t>: accede a reportes y trazabilidad (solo lectura).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Lector</w:t>
      </w:r>
      <w:r>
        <w:rPr>
          <w:sz w:val="22"/>
          <w:szCs w:val="22"/>
        </w:rPr>
        <w:t>: consulta resúmenes y métricas (solo lectura).</w:t>
      </w:r>
    </w:p>
    <w:p>
      <w:pPr>
        <w:pStyle w:val="TextBody"/>
        <w:bidi w:val="0"/>
        <w:jc w:val="left"/>
        <w:rPr/>
      </w:pPr>
      <w:r>
        <w:rPr>
          <w:sz w:val="22"/>
          <w:szCs w:val="22"/>
        </w:rPr>
        <w:t xml:space="preserve">Se garantiza control de acceso por </w:t>
      </w:r>
      <w:r>
        <w:rPr>
          <w:rStyle w:val="StrongEmphasis"/>
          <w:sz w:val="22"/>
          <w:szCs w:val="22"/>
        </w:rPr>
        <w:t>banco/cuenta/área</w:t>
      </w:r>
      <w:r>
        <w:rPr>
          <w:sz w:val="22"/>
          <w:szCs w:val="22"/>
        </w:rPr>
        <w:t xml:space="preserve">, y un </w:t>
      </w:r>
      <w:r>
        <w:rPr>
          <w:rStyle w:val="StrongEmphasis"/>
          <w:sz w:val="22"/>
          <w:szCs w:val="22"/>
        </w:rPr>
        <w:t>historial</w:t>
      </w:r>
      <w:r>
        <w:rPr>
          <w:sz w:val="22"/>
          <w:szCs w:val="22"/>
        </w:rPr>
        <w:t xml:space="preserve"> completo de acciones y cambios.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8. Resultados esperados del Leading Case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Al finalizar el caso con FCE–UBA, se espera contar con: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sz w:val="22"/>
          <w:szCs w:val="22"/>
        </w:rPr>
        <w:t xml:space="preserve">Un </w:t>
      </w:r>
      <w:r>
        <w:rPr>
          <w:rStyle w:val="StrongEmphasis"/>
          <w:sz w:val="22"/>
          <w:szCs w:val="22"/>
        </w:rPr>
        <w:t>informe comparativo</w:t>
      </w:r>
      <w:r>
        <w:rPr>
          <w:sz w:val="22"/>
          <w:szCs w:val="22"/>
        </w:rPr>
        <w:t xml:space="preserve"> (ConciAI vs. proceso manual) sobre los tres bancos analizados.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sz w:val="22"/>
          <w:szCs w:val="22"/>
        </w:rPr>
        <w:t xml:space="preserve">Un </w:t>
      </w:r>
      <w:r>
        <w:rPr>
          <w:rStyle w:val="StrongEmphasis"/>
          <w:sz w:val="22"/>
          <w:szCs w:val="22"/>
        </w:rPr>
        <w:t>mapa de causas</w:t>
      </w:r>
      <w:r>
        <w:rPr>
          <w:sz w:val="22"/>
          <w:szCs w:val="22"/>
        </w:rPr>
        <w:t xml:space="preserve"> de pendientes y soluciones aplicadas (ventanas de fechas, agrupaciones, criterios contables).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sz w:val="22"/>
          <w:szCs w:val="22"/>
        </w:rPr>
        <w:t xml:space="preserve">Una </w:t>
      </w:r>
      <w:r>
        <w:rPr>
          <w:rStyle w:val="StrongEmphasis"/>
          <w:sz w:val="22"/>
          <w:szCs w:val="22"/>
        </w:rPr>
        <w:t>estimación de ahorro de tiempo y mejora de exactitud</w:t>
      </w:r>
      <w:r>
        <w:rPr>
          <w:sz w:val="22"/>
          <w:szCs w:val="22"/>
        </w:rPr>
        <w:t xml:space="preserve"> específica para el entorno de la FCE–UBA.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sz w:val="22"/>
          <w:szCs w:val="22"/>
        </w:rPr>
        <w:t xml:space="preserve">Un </w:t>
      </w:r>
      <w:r>
        <w:rPr>
          <w:rStyle w:val="StrongEmphasis"/>
          <w:sz w:val="22"/>
          <w:szCs w:val="22"/>
        </w:rPr>
        <w:t>plan de adopción</w:t>
      </w:r>
      <w:r>
        <w:rPr>
          <w:sz w:val="22"/>
          <w:szCs w:val="22"/>
        </w:rPr>
        <w:t xml:space="preserve"> por etapas (bancos, cuentas y períodos adicionales).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9. Plan de implementación propuesto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sz w:val="22"/>
          <w:szCs w:val="22"/>
        </w:rPr>
        <w:t>Fase 1 — Piloto (Leading Case FCE–UBA)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Relevamiento breve (cuentas, formatos, responsables).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Carga de archivos del período definido (Ciudad julio + Santander + Patagonia).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Configuración inicial de reglas y ejecución de conciliación.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Reporte de resultados y lecciones aprendidas.</w:t>
      </w:r>
    </w:p>
    <w:p>
      <w:pPr>
        <w:pStyle w:val="TextBody"/>
        <w:bidi w:val="0"/>
        <w:jc w:val="left"/>
        <w:rPr/>
      </w:pPr>
      <w:r>
        <w:rPr>
          <w:rStyle w:val="StrongEmphasis"/>
          <w:sz w:val="22"/>
          <w:szCs w:val="22"/>
        </w:rPr>
        <w:t>Fase 2 — Expansión controlada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Inclusión de nuevas cuentas y períodos.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Ajustes finos de reglas y flujos de aprobación.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Capacitación a operadores y auditores.</w:t>
      </w:r>
    </w:p>
    <w:p>
      <w:pPr>
        <w:pStyle w:val="TextBody"/>
        <w:bidi w:val="0"/>
        <w:jc w:val="left"/>
        <w:rPr/>
      </w:pPr>
      <w:r>
        <w:rPr>
          <w:rStyle w:val="StrongEmphasis"/>
          <w:sz w:val="22"/>
          <w:szCs w:val="22"/>
        </w:rPr>
        <w:t>Fase 3 — Operación plena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Tableros ejecutivos y alertas personalizadas.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Automatizaciones de cierre y notificaciones.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Revisión periódica de KPIs y mejora continua.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10. Próximos pasos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sz w:val="22"/>
          <w:szCs w:val="22"/>
        </w:rPr>
        <w:t xml:space="preserve">Confirmar </w:t>
      </w:r>
      <w:r>
        <w:rPr>
          <w:rStyle w:val="StrongEmphasis"/>
          <w:sz w:val="22"/>
          <w:szCs w:val="22"/>
        </w:rPr>
        <w:t>períodos</w:t>
      </w:r>
      <w:r>
        <w:rPr>
          <w:sz w:val="22"/>
          <w:szCs w:val="22"/>
        </w:rPr>
        <w:t xml:space="preserve"> de Santander y Patagonia para el Leading Case.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sz w:val="22"/>
          <w:szCs w:val="22"/>
        </w:rPr>
        <w:t xml:space="preserve">Compartir </w:t>
      </w:r>
      <w:r>
        <w:rPr>
          <w:rStyle w:val="StrongEmphasis"/>
          <w:sz w:val="22"/>
          <w:szCs w:val="22"/>
        </w:rPr>
        <w:t>archivos de ejemplo</w:t>
      </w:r>
      <w:r>
        <w:rPr>
          <w:sz w:val="22"/>
          <w:szCs w:val="22"/>
        </w:rPr>
        <w:t xml:space="preserve"> (extractos e informe contable).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sz w:val="22"/>
          <w:szCs w:val="22"/>
        </w:rPr>
        <w:t xml:space="preserve">Ejecutar la </w:t>
      </w:r>
      <w:r>
        <w:rPr>
          <w:rStyle w:val="StrongEmphasis"/>
          <w:sz w:val="22"/>
          <w:szCs w:val="22"/>
        </w:rPr>
        <w:t>prueba piloto</w:t>
      </w:r>
      <w:r>
        <w:rPr>
          <w:sz w:val="22"/>
          <w:szCs w:val="22"/>
        </w:rPr>
        <w:t xml:space="preserve"> y entregar reportes ejecutivos.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sz w:val="22"/>
          <w:szCs w:val="22"/>
        </w:rPr>
        <w:t xml:space="preserve">Definir la </w:t>
      </w:r>
      <w:r>
        <w:rPr>
          <w:rStyle w:val="StrongEmphasis"/>
          <w:sz w:val="22"/>
          <w:szCs w:val="22"/>
        </w:rPr>
        <w:t>hoja de ruta</w:t>
      </w:r>
      <w:r>
        <w:rPr>
          <w:sz w:val="22"/>
          <w:szCs w:val="22"/>
        </w:rPr>
        <w:t xml:space="preserve"> de adopción (bancos, cuentas, plazos y responsables).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11. Mensaje final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sz w:val="22"/>
          <w:szCs w:val="22"/>
        </w:rPr>
        <w:t xml:space="preserve">ConciAI transforma la conciliación en un proceso </w:t>
      </w:r>
      <w:r>
        <w:rPr>
          <w:rStyle w:val="StrongEmphasis"/>
          <w:sz w:val="22"/>
          <w:szCs w:val="22"/>
        </w:rPr>
        <w:t>más rápido, confiable y auditable</w:t>
      </w:r>
      <w:r>
        <w:rPr>
          <w:sz w:val="22"/>
          <w:szCs w:val="22"/>
        </w:rPr>
        <w:t xml:space="preserve">, con una interfaz </w:t>
      </w:r>
      <w:r>
        <w:rPr>
          <w:rStyle w:val="StrongEmphasis"/>
          <w:sz w:val="22"/>
          <w:szCs w:val="22"/>
        </w:rPr>
        <w:t>simple y conversacional</w:t>
      </w:r>
      <w:r>
        <w:rPr>
          <w:sz w:val="22"/>
          <w:szCs w:val="22"/>
        </w:rPr>
        <w:t xml:space="preserve">. El Leading Case con la FCE–UBA permitirá </w:t>
      </w:r>
      <w:r>
        <w:rPr>
          <w:rStyle w:val="StrongEmphasis"/>
          <w:sz w:val="22"/>
          <w:szCs w:val="22"/>
        </w:rPr>
        <w:t>medir y demostrar</w:t>
      </w:r>
      <w:r>
        <w:rPr>
          <w:sz w:val="22"/>
          <w:szCs w:val="22"/>
        </w:rPr>
        <w:t xml:space="preserve"> el impacto concreto sobre tres bancos (Ciudad, Santander y Patagonia), y proyectar una </w:t>
      </w:r>
      <w:r>
        <w:rPr>
          <w:rStyle w:val="StrongEmphasis"/>
          <w:sz w:val="22"/>
          <w:szCs w:val="22"/>
        </w:rPr>
        <w:t>adopción escalable</w:t>
      </w:r>
      <w:r>
        <w:rPr>
          <w:sz w:val="22"/>
          <w:szCs w:val="22"/>
        </w:rPr>
        <w:t xml:space="preserve"> en toda la organización.</w:t>
      </w:r>
    </w:p>
    <w:p>
      <w:pPr>
        <w:pStyle w:val="TextBody"/>
        <w:bidi w:val="0"/>
        <w:spacing w:before="0" w:after="140"/>
        <w:jc w:val="left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14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LibreOffice/6.4.7.2$Linux_X86_64 LibreOffice_project/40$Build-2</Application>
  <Pages>4</Pages>
  <Words>869</Words>
  <Characters>5009</Characters>
  <CharactersWithSpaces>5736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2025-11-05T09:07:45Z</dcterms:created>
  <dc:creator/>
  <dc:description/>
  <dc:language>en-US</dc:language>
  <cp:lastModifiedBy/>
  <dcterms:modified xsi:type="dcterms:W3CDTF">2025-11-05T09:12:27Z</dcterms:modified>
  <cp:revision>2</cp:revision>
  <dc:subject/>
  <dc:title/>
</cp:coreProperties>
</file>