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>
          <w:sz w:val="28"/>
          <w:szCs w:val="28"/>
        </w:rPr>
      </w:pPr>
      <w:r>
        <w:rPr>
          <w:sz w:val="28"/>
          <w:szCs w:val="28"/>
        </w:rPr>
        <w:t>Conci</w:t>
      </w:r>
      <w:r>
        <w:rPr>
          <w:sz w:val="28"/>
          <w:szCs w:val="28"/>
        </w:rPr>
        <w:t>l</w:t>
      </w:r>
      <w:r>
        <w:rPr>
          <w:sz w:val="28"/>
          <w:szCs w:val="28"/>
        </w:rPr>
        <w:t>IA para Telchi — Propuesta Ejecutiva (sin acceso directo a SAP)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Objetivo</w:t>
      </w:r>
    </w:p>
    <w:p>
      <w:pPr>
        <w:pStyle w:val="TextBody"/>
        <w:rPr/>
      </w:pPr>
      <w:r>
        <w:rPr>
          <w:sz w:val="22"/>
          <w:szCs w:val="22"/>
        </w:rPr>
        <w:t xml:space="preserve">Control integral de </w:t>
      </w:r>
      <w:r>
        <w:rPr>
          <w:rStyle w:val="StrongEmphasis"/>
          <w:sz w:val="22"/>
          <w:szCs w:val="22"/>
        </w:rPr>
        <w:t>Finanzas, Retail (3 farmacias)</w:t>
      </w:r>
      <w:r>
        <w:rPr>
          <w:sz w:val="22"/>
          <w:szCs w:val="22"/>
        </w:rPr>
        <w:t xml:space="preserve"> y </w:t>
      </w:r>
      <w:r>
        <w:rPr>
          <w:rStyle w:val="StrongEmphasis"/>
          <w:sz w:val="22"/>
          <w:szCs w:val="22"/>
        </w:rPr>
        <w:t>Producción (2 plantas)</w:t>
      </w:r>
      <w:r>
        <w:rPr>
          <w:sz w:val="22"/>
          <w:szCs w:val="22"/>
        </w:rPr>
        <w:t xml:space="preserve"> mediante </w:t>
      </w:r>
      <w:r>
        <w:rPr>
          <w:rStyle w:val="StrongEmphasis"/>
          <w:sz w:val="22"/>
          <w:szCs w:val="22"/>
        </w:rPr>
        <w:t>reconciliación multi-canal por archivos</w:t>
      </w:r>
      <w:r>
        <w:rPr>
          <w:sz w:val="22"/>
          <w:szCs w:val="22"/>
        </w:rPr>
        <w:t>: SAP B1 (exportado por el cliente), Retail y Móvil. Reducir discrepancias, fugas y reprocesos; acelerar cierres y dar trazabilidad para auditoría.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Alcance funcional (incluido)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Reconciliación multi-canal por archivos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ind w:left="1414" w:hanging="283"/>
        <w:rPr/>
      </w:pPr>
      <w:r>
        <w:rPr>
          <w:rStyle w:val="StrongEmphasis"/>
          <w:sz w:val="22"/>
          <w:szCs w:val="22"/>
        </w:rPr>
        <w:t>SAP B1</w:t>
      </w:r>
      <w:r>
        <w:rPr>
          <w:sz w:val="22"/>
          <w:szCs w:val="22"/>
        </w:rPr>
        <w:t xml:space="preserve">: el cliente </w:t>
      </w:r>
      <w:r>
        <w:rPr>
          <w:rStyle w:val="StrongEmphasis"/>
          <w:sz w:val="22"/>
          <w:szCs w:val="22"/>
        </w:rPr>
        <w:t>ejecuta consultas</w:t>
      </w:r>
      <w:r>
        <w:rPr>
          <w:sz w:val="22"/>
          <w:szCs w:val="22"/>
        </w:rPr>
        <w:t xml:space="preserve"> (HANA/SQL Server) y </w:t>
      </w:r>
      <w:r>
        <w:rPr>
          <w:rStyle w:val="StrongEmphasis"/>
          <w:sz w:val="22"/>
          <w:szCs w:val="22"/>
        </w:rPr>
        <w:t>exporta</w:t>
      </w:r>
      <w:r>
        <w:rPr>
          <w:sz w:val="22"/>
          <w:szCs w:val="22"/>
        </w:rPr>
        <w:t xml:space="preserve"> CSV/Excel.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ind w:left="1414" w:hanging="283"/>
        <w:rPr/>
      </w:pPr>
      <w:r>
        <w:rPr>
          <w:rStyle w:val="StrongEmphasis"/>
          <w:sz w:val="22"/>
          <w:szCs w:val="22"/>
        </w:rPr>
        <w:t>Retail y Móvil</w:t>
      </w:r>
      <w:r>
        <w:rPr>
          <w:sz w:val="22"/>
          <w:szCs w:val="22"/>
        </w:rPr>
        <w:t xml:space="preserve">: el cliente </w:t>
      </w:r>
      <w:r>
        <w:rPr>
          <w:rStyle w:val="StrongEmphasis"/>
          <w:sz w:val="22"/>
          <w:szCs w:val="22"/>
        </w:rPr>
        <w:t>genera y sube</w:t>
      </w:r>
      <w:r>
        <w:rPr>
          <w:sz w:val="22"/>
          <w:szCs w:val="22"/>
        </w:rPr>
        <w:t xml:space="preserve"> vuelcos CSV/JSON (cabecera/detalle).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ind w:left="1414" w:hanging="283"/>
        <w:rPr/>
      </w:pPr>
      <w:r>
        <w:rPr>
          <w:sz w:val="22"/>
          <w:szCs w:val="22"/>
        </w:rPr>
        <w:t xml:space="preserve">ConciIIA </w:t>
      </w:r>
      <w:r>
        <w:rPr>
          <w:rStyle w:val="StrongEmphasis"/>
          <w:sz w:val="22"/>
          <w:szCs w:val="22"/>
        </w:rPr>
        <w:t>normaliza y valida</w:t>
      </w:r>
      <w:r>
        <w:rPr>
          <w:sz w:val="22"/>
          <w:szCs w:val="22"/>
        </w:rPr>
        <w:t xml:space="preserve"> </w:t>
      </w:r>
      <w:r>
        <w:rPr>
          <w:rStyle w:val="StrongEmphasis"/>
          <w:sz w:val="22"/>
          <w:szCs w:val="22"/>
        </w:rPr>
        <w:t>SAP ↔ Retail ↔ Móvil</w:t>
      </w:r>
      <w:r>
        <w:rPr>
          <w:sz w:val="22"/>
          <w:szCs w:val="22"/>
        </w:rPr>
        <w:t xml:space="preserve"> con tolerancias (±1 día / ±0,5% total / ±0,3% impuestos).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Finanzas</w:t>
      </w:r>
      <w:r>
        <w:rPr>
          <w:sz w:val="22"/>
          <w:szCs w:val="22"/>
        </w:rPr>
        <w:t>: AR/AP aging, flujo de caja mensual, mayor resumido, cobranzas/pagos por canal.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Producción</w:t>
      </w:r>
      <w:r>
        <w:rPr>
          <w:sz w:val="22"/>
          <w:szCs w:val="22"/>
        </w:rPr>
        <w:t xml:space="preserve">: backlog de OF, consumo real vs estándar, recepciones, trazabilidad por </w:t>
      </w:r>
      <w:r>
        <w:rPr>
          <w:rStyle w:val="StrongEmphasis"/>
          <w:sz w:val="22"/>
          <w:szCs w:val="22"/>
        </w:rPr>
        <w:t>lote/serie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Retail (3 farmacias)</w:t>
      </w:r>
      <w:r>
        <w:rPr>
          <w:sz w:val="22"/>
          <w:szCs w:val="22"/>
        </w:rPr>
        <w:t>: rotación, quiebres, obsoletos, márgenes por línea/sucursal.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Entregables</w:t>
      </w:r>
      <w:r>
        <w:rPr>
          <w:sz w:val="22"/>
          <w:szCs w:val="22"/>
        </w:rPr>
        <w:t xml:space="preserve">: </w:t>
      </w:r>
      <w:r>
        <w:rPr>
          <w:rStyle w:val="StrongEmphasis"/>
          <w:sz w:val="22"/>
          <w:szCs w:val="22"/>
        </w:rPr>
        <w:t>Informe ejecutivo mensual</w:t>
      </w:r>
      <w:r>
        <w:rPr>
          <w:sz w:val="22"/>
          <w:szCs w:val="22"/>
        </w:rPr>
        <w:t xml:space="preserve">, </w:t>
      </w:r>
      <w:r>
        <w:rPr>
          <w:rStyle w:val="StrongEmphasis"/>
          <w:sz w:val="22"/>
          <w:szCs w:val="22"/>
        </w:rPr>
        <w:t>Top 20 discrepancias</w:t>
      </w:r>
      <w:r>
        <w:rPr>
          <w:sz w:val="22"/>
          <w:szCs w:val="22"/>
        </w:rPr>
        <w:t xml:space="preserve"> priorizadas, </w:t>
      </w:r>
      <w:r>
        <w:rPr>
          <w:rStyle w:val="StrongEmphasis"/>
          <w:sz w:val="22"/>
          <w:szCs w:val="22"/>
        </w:rPr>
        <w:t>exportables</w:t>
      </w:r>
      <w:r>
        <w:rPr>
          <w:sz w:val="22"/>
          <w:szCs w:val="22"/>
        </w:rPr>
        <w:t xml:space="preserve"> (Excel/CSV).</w:t>
      </w:r>
    </w:p>
    <w:p>
      <w:pPr>
        <w:pStyle w:val="Heading2"/>
        <w:numPr>
          <w:ilvl w:val="0"/>
          <w:numId w:val="0"/>
        </w:numPr>
        <w:ind w:left="0" w:hanging="0"/>
        <w:rPr>
          <w:sz w:val="22"/>
          <w:szCs w:val="22"/>
        </w:rPr>
      </w:pPr>
      <w:r>
        <w:rPr>
          <w:sz w:val="22"/>
          <w:szCs w:val="22"/>
        </w:rPr>
        <w:t>Responsabilidades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Cliente (Telchi)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ind w:left="1414" w:hanging="283"/>
        <w:rPr/>
      </w:pPr>
      <w:r>
        <w:rPr>
          <w:sz w:val="22"/>
          <w:szCs w:val="22"/>
        </w:rPr>
        <w:t xml:space="preserve">Ejecutar </w:t>
      </w:r>
      <w:r>
        <w:rPr>
          <w:rStyle w:val="StrongEmphasis"/>
          <w:sz w:val="22"/>
          <w:szCs w:val="22"/>
        </w:rPr>
        <w:t>consultas SAP</w:t>
      </w:r>
      <w:r>
        <w:rPr>
          <w:sz w:val="22"/>
          <w:szCs w:val="22"/>
        </w:rPr>
        <w:t xml:space="preserve"> y </w:t>
      </w:r>
      <w:r>
        <w:rPr>
          <w:rStyle w:val="StrongEmphasis"/>
          <w:sz w:val="22"/>
          <w:szCs w:val="22"/>
        </w:rPr>
        <w:t>exportar</w:t>
      </w:r>
      <w:r>
        <w:rPr>
          <w:sz w:val="22"/>
          <w:szCs w:val="22"/>
        </w:rPr>
        <w:t xml:space="preserve"> CSV/Excel.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ind w:left="1414" w:hanging="283"/>
        <w:rPr/>
      </w:pPr>
      <w:r>
        <w:rPr>
          <w:rStyle w:val="StrongEmphasis"/>
          <w:sz w:val="22"/>
          <w:szCs w:val="22"/>
        </w:rPr>
        <w:t>Generar y subir</w:t>
      </w:r>
      <w:r>
        <w:rPr>
          <w:sz w:val="22"/>
          <w:szCs w:val="22"/>
        </w:rPr>
        <w:t xml:space="preserve"> archivos de </w:t>
      </w:r>
      <w:r>
        <w:rPr>
          <w:rStyle w:val="StrongEmphasis"/>
          <w:sz w:val="22"/>
          <w:szCs w:val="22"/>
        </w:rPr>
        <w:t>Retail y Móvil</w:t>
      </w:r>
      <w:r>
        <w:rPr>
          <w:sz w:val="22"/>
          <w:szCs w:val="22"/>
        </w:rPr>
        <w:t xml:space="preserve"> (CSV/JSON) al repositorio acordado.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ind w:left="1414" w:hanging="283"/>
        <w:rPr/>
      </w:pPr>
      <w:r>
        <w:rPr>
          <w:sz w:val="22"/>
          <w:szCs w:val="22"/>
        </w:rPr>
        <w:t xml:space="preserve">Designar referentes de </w:t>
      </w:r>
      <w:r>
        <w:rPr>
          <w:rStyle w:val="StrongEmphasis"/>
          <w:sz w:val="22"/>
          <w:szCs w:val="22"/>
        </w:rPr>
        <w:t>Finanzas</w:t>
      </w:r>
      <w:r>
        <w:rPr>
          <w:sz w:val="22"/>
          <w:szCs w:val="22"/>
        </w:rPr>
        <w:t xml:space="preserve"> y </w:t>
      </w:r>
      <w:r>
        <w:rPr>
          <w:rStyle w:val="StrongEmphasis"/>
          <w:sz w:val="22"/>
          <w:szCs w:val="22"/>
        </w:rPr>
        <w:t>Retail</w:t>
      </w:r>
      <w:r>
        <w:rPr>
          <w:sz w:val="22"/>
          <w:szCs w:val="22"/>
        </w:rPr>
        <w:t xml:space="preserve"> para validar mapeos y tolerancias.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ConciIIA (nuestra plataforma)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ind w:left="1414" w:hanging="283"/>
        <w:rPr/>
      </w:pPr>
      <w:r>
        <w:rPr>
          <w:rStyle w:val="StrongEmphasis"/>
          <w:sz w:val="22"/>
          <w:szCs w:val="22"/>
        </w:rPr>
        <w:t>Procesar</w:t>
      </w:r>
      <w:r>
        <w:rPr>
          <w:sz w:val="22"/>
          <w:szCs w:val="22"/>
        </w:rPr>
        <w:t xml:space="preserve"> archivos recibidos; realizar </w:t>
      </w:r>
      <w:r>
        <w:rPr>
          <w:rStyle w:val="StrongEmphasis"/>
          <w:sz w:val="22"/>
          <w:szCs w:val="22"/>
        </w:rPr>
        <w:t>cargas y pruebas</w:t>
      </w:r>
      <w:r>
        <w:rPr>
          <w:sz w:val="22"/>
          <w:szCs w:val="22"/>
        </w:rPr>
        <w:t xml:space="preserve"> hasta la </w:t>
      </w:r>
      <w:r>
        <w:rPr>
          <w:rStyle w:val="StrongEmphasis"/>
          <w:sz w:val="22"/>
          <w:szCs w:val="22"/>
        </w:rPr>
        <w:t>estabilidad</w:t>
      </w:r>
      <w:r>
        <w:rPr>
          <w:sz w:val="22"/>
          <w:szCs w:val="22"/>
        </w:rPr>
        <w:t>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ind w:left="1414" w:hanging="283"/>
        <w:rPr/>
      </w:pPr>
      <w:r>
        <w:rPr>
          <w:sz w:val="22"/>
          <w:szCs w:val="22"/>
        </w:rPr>
        <w:t xml:space="preserve">Entregar </w:t>
      </w:r>
      <w:r>
        <w:rPr>
          <w:rStyle w:val="StrongEmphasis"/>
          <w:sz w:val="22"/>
          <w:szCs w:val="22"/>
        </w:rPr>
        <w:t>KPIs</w:t>
      </w:r>
      <w:r>
        <w:rPr>
          <w:sz w:val="22"/>
          <w:szCs w:val="22"/>
        </w:rPr>
        <w:t xml:space="preserve"> y </w:t>
      </w:r>
      <w:r>
        <w:rPr>
          <w:rStyle w:val="StrongEmphasis"/>
          <w:sz w:val="22"/>
          <w:szCs w:val="22"/>
        </w:rPr>
        <w:t>Top 20 discrepancias</w:t>
      </w:r>
      <w:r>
        <w:rPr>
          <w:sz w:val="22"/>
          <w:szCs w:val="22"/>
        </w:rPr>
        <w:t>; proponer correcciones.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ind w:left="1414" w:hanging="283"/>
        <w:rPr/>
      </w:pPr>
      <w:r>
        <w:rPr>
          <w:sz w:val="22"/>
          <w:szCs w:val="22"/>
        </w:rPr>
        <w:t xml:space="preserve">Tras la estabilización, </w:t>
      </w:r>
      <w:r>
        <w:rPr>
          <w:rStyle w:val="StrongEmphasis"/>
          <w:sz w:val="22"/>
          <w:szCs w:val="22"/>
        </w:rPr>
        <w:t>validar productividad</w:t>
      </w:r>
      <w:r>
        <w:rPr>
          <w:sz w:val="22"/>
          <w:szCs w:val="22"/>
        </w:rPr>
        <w:t xml:space="preserve"> (reducción de pendientes/fugas en el tiempo).</w:t>
      </w:r>
    </w:p>
    <w:p>
      <w:pPr>
        <w:pStyle w:val="Heading2"/>
        <w:numPr>
          <w:ilvl w:val="0"/>
          <w:numId w:val="0"/>
        </w:numPr>
        <w:ind w:left="0" w:hanging="0"/>
        <w:rPr>
          <w:sz w:val="22"/>
          <w:szCs w:val="22"/>
        </w:rPr>
      </w:pPr>
      <w:r>
        <w:rPr>
          <w:sz w:val="22"/>
          <w:szCs w:val="22"/>
        </w:rPr>
        <w:t>Cronograma y entregas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Mes 1 (días 0–30/40)</w:t>
      </w:r>
      <w:r>
        <w:rPr>
          <w:sz w:val="22"/>
          <w:szCs w:val="22"/>
        </w:rPr>
        <w:t xml:space="preserve">: Setup, plantillas de exporte, mapeos (SKU/NIT/Sucursal), reglas base; primeras </w:t>
      </w:r>
      <w:r>
        <w:rPr>
          <w:rStyle w:val="StrongEmphasis"/>
          <w:sz w:val="22"/>
          <w:szCs w:val="22"/>
        </w:rPr>
        <w:t>corridas internas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Mes 2 (~día 35–40)</w:t>
      </w:r>
      <w:r>
        <w:rPr>
          <w:sz w:val="22"/>
          <w:szCs w:val="22"/>
        </w:rPr>
        <w:t xml:space="preserve">: </w:t>
      </w:r>
      <w:r>
        <w:rPr>
          <w:rStyle w:val="StrongEmphasis"/>
          <w:sz w:val="22"/>
          <w:szCs w:val="22"/>
        </w:rPr>
        <w:t>Primer informe mensual</w:t>
      </w:r>
      <w:r>
        <w:rPr>
          <w:sz w:val="22"/>
          <w:szCs w:val="22"/>
        </w:rPr>
        <w:t xml:space="preserve"> con datos reales ⇒ </w:t>
      </w:r>
      <w:r>
        <w:rPr>
          <w:rStyle w:val="StrongEmphasis"/>
          <w:sz w:val="22"/>
          <w:szCs w:val="22"/>
        </w:rPr>
        <w:t>ya pueden probar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Mes 3</w:t>
      </w:r>
      <w:r>
        <w:rPr>
          <w:sz w:val="22"/>
          <w:szCs w:val="22"/>
        </w:rPr>
        <w:t xml:space="preserve">: plataforma </w:t>
      </w:r>
      <w:r>
        <w:rPr>
          <w:rStyle w:val="StrongEmphasis"/>
          <w:sz w:val="22"/>
          <w:szCs w:val="22"/>
        </w:rPr>
        <w:t>~80%</w:t>
      </w:r>
      <w:r>
        <w:rPr>
          <w:sz w:val="22"/>
          <w:szCs w:val="22"/>
        </w:rPr>
        <w:t xml:space="preserve">, foco en </w:t>
      </w:r>
      <w:r>
        <w:rPr>
          <w:rStyle w:val="StrongEmphasis"/>
          <w:sz w:val="22"/>
          <w:szCs w:val="22"/>
        </w:rPr>
        <w:t>revisión de detalles</w:t>
      </w:r>
      <w:r>
        <w:rPr>
          <w:sz w:val="22"/>
          <w:szCs w:val="22"/>
        </w:rPr>
        <w:t xml:space="preserve"> y fine-tuning.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Mes 4 en adelante</w:t>
      </w:r>
      <w:r>
        <w:rPr>
          <w:sz w:val="22"/>
          <w:szCs w:val="22"/>
        </w:rPr>
        <w:t xml:space="preserve">: operación estable con </w:t>
      </w:r>
      <w:r>
        <w:rPr>
          <w:rStyle w:val="StrongEmphasis"/>
          <w:sz w:val="22"/>
          <w:szCs w:val="22"/>
        </w:rPr>
        <w:t>entregas mensuales</w:t>
      </w:r>
      <w:r>
        <w:rPr>
          <w:sz w:val="22"/>
          <w:szCs w:val="22"/>
        </w:rPr>
        <w:t>.</w:t>
      </w:r>
    </w:p>
    <w:p>
      <w:pPr>
        <w:pStyle w:val="Heading2"/>
        <w:numPr>
          <w:ilvl w:val="0"/>
          <w:numId w:val="0"/>
        </w:numPr>
        <w:ind w:left="0" w:hanging="0"/>
        <w:rPr>
          <w:sz w:val="22"/>
          <w:szCs w:val="22"/>
        </w:rPr>
      </w:pPr>
      <w:r>
        <w:rPr>
          <w:sz w:val="22"/>
          <w:szCs w:val="22"/>
        </w:rPr>
        <w:t>KPIs esperados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sz w:val="22"/>
          <w:szCs w:val="22"/>
        </w:rPr>
        <w:t xml:space="preserve">≥ </w:t>
      </w:r>
      <w:r>
        <w:rPr>
          <w:rStyle w:val="StrongEmphasis"/>
          <w:sz w:val="22"/>
          <w:szCs w:val="22"/>
        </w:rPr>
        <w:t>85%</w:t>
      </w:r>
      <w:r>
        <w:rPr>
          <w:sz w:val="22"/>
          <w:szCs w:val="22"/>
        </w:rPr>
        <w:t xml:space="preserve"> de ventas multi-canal </w:t>
      </w:r>
      <w:r>
        <w:rPr>
          <w:rStyle w:val="StrongEmphasis"/>
          <w:sz w:val="22"/>
          <w:szCs w:val="22"/>
        </w:rPr>
        <w:t>reconciliadas automáticamente</w:t>
      </w:r>
      <w:r>
        <w:rPr>
          <w:sz w:val="22"/>
          <w:szCs w:val="22"/>
        </w:rPr>
        <w:t xml:space="preserve"> al </w:t>
      </w:r>
      <w:r>
        <w:rPr>
          <w:rStyle w:val="StrongEmphasis"/>
          <w:sz w:val="22"/>
          <w:szCs w:val="22"/>
        </w:rPr>
        <w:t>Mes 3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Tiempo de resolución</w:t>
      </w:r>
      <w:r>
        <w:rPr>
          <w:sz w:val="22"/>
          <w:szCs w:val="22"/>
        </w:rPr>
        <w:t xml:space="preserve"> de discrepancias críticas ≤ </w:t>
      </w:r>
      <w:r>
        <w:rPr>
          <w:rStyle w:val="StrongEmphasis"/>
          <w:sz w:val="22"/>
          <w:szCs w:val="22"/>
        </w:rPr>
        <w:t>3 días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Trazabilidad</w:t>
      </w:r>
      <w:r>
        <w:rPr>
          <w:sz w:val="22"/>
          <w:szCs w:val="22"/>
        </w:rPr>
        <w:t xml:space="preserve"> completa de archivos cargados y reglas aplicadas.</w:t>
      </w:r>
    </w:p>
    <w:p>
      <w:pPr>
        <w:pStyle w:val="Heading2"/>
        <w:numPr>
          <w:ilvl w:val="0"/>
          <w:numId w:val="0"/>
        </w:numPr>
        <w:ind w:left="0" w:hanging="0"/>
        <w:rPr>
          <w:sz w:val="22"/>
          <w:szCs w:val="22"/>
        </w:rPr>
      </w:pPr>
      <w:r>
        <w:rPr>
          <w:sz w:val="22"/>
          <w:szCs w:val="22"/>
        </w:rPr>
        <w:t>Inversión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Mes 0 — Inicio (Setup, anticipo): USD 2.500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Mes 1 — Setup (saldo): USD 2.500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rStyle w:val="StrongEmphasis"/>
          <w:sz w:val="22"/>
          <w:szCs w:val="22"/>
        </w:rPr>
        <w:t>Mes 2 en adelante — Operación mensual: USD 900/mes</w:t>
      </w:r>
    </w:p>
    <w:p>
      <w:pPr>
        <w:pStyle w:val="Quotations"/>
        <w:rPr/>
      </w:pPr>
      <w:r>
        <w:rPr>
          <w:sz w:val="22"/>
          <w:szCs w:val="22"/>
        </w:rPr>
        <w:t xml:space="preserve">El precio incluye el </w:t>
      </w:r>
      <w:r>
        <w:rPr>
          <w:rStyle w:val="StrongEmphasis"/>
          <w:sz w:val="22"/>
          <w:szCs w:val="22"/>
        </w:rPr>
        <w:t>desarrollo/parametrización de la plataforma</w:t>
      </w:r>
      <w:r>
        <w:rPr>
          <w:sz w:val="22"/>
          <w:szCs w:val="22"/>
        </w:rPr>
        <w:t xml:space="preserve"> para Telchi (ingestión, normalización, motor de conciliación, panel/listados y KPIs). Frecuencias superiores (semanal/diaria) o tableros BI 100% a medida se cotizan como </w:t>
      </w:r>
      <w:r>
        <w:rPr>
          <w:rStyle w:val="StrongEmphasis"/>
          <w:sz w:val="22"/>
          <w:szCs w:val="22"/>
        </w:rPr>
        <w:t>upgrade</w:t>
      </w:r>
      <w:r>
        <w:rPr>
          <w:sz w:val="22"/>
          <w:szCs w:val="22"/>
        </w:rPr>
        <w:t>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</w:rPr>
        <w:t>Supuestos y límites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7" w:hanging="283"/>
        <w:rPr>
          <w:sz w:val="22"/>
          <w:szCs w:val="22"/>
        </w:rPr>
      </w:pPr>
      <w:r>
        <w:rPr>
          <w:sz w:val="22"/>
          <w:szCs w:val="22"/>
        </w:rPr>
        <w:t>1 sociedad SAP; 3 farmacias y 2 plantas (volumen estándar mensual).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sz w:val="22"/>
          <w:szCs w:val="22"/>
        </w:rPr>
        <w:t xml:space="preserve">El cliente </w:t>
      </w:r>
      <w:r>
        <w:rPr>
          <w:rStyle w:val="StrongEmphasis"/>
          <w:sz w:val="22"/>
          <w:szCs w:val="22"/>
        </w:rPr>
        <w:t>provee y sube</w:t>
      </w:r>
      <w:r>
        <w:rPr>
          <w:sz w:val="22"/>
          <w:szCs w:val="22"/>
        </w:rPr>
        <w:t xml:space="preserve"> los archivos </w:t>
      </w:r>
      <w:r>
        <w:rPr>
          <w:rStyle w:val="StrongEmphasis"/>
          <w:sz w:val="22"/>
          <w:szCs w:val="22"/>
        </w:rPr>
        <w:t>en tiempo y forma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sz w:val="22"/>
          <w:szCs w:val="22"/>
        </w:rPr>
        <w:t xml:space="preserve">Sin integraciones online ni acceso directo a SAP (solo por </w:t>
      </w:r>
      <w:r>
        <w:rPr>
          <w:rStyle w:val="StrongEmphasis"/>
          <w:sz w:val="22"/>
          <w:szCs w:val="22"/>
        </w:rPr>
        <w:t>archivos</w:t>
      </w:r>
      <w:r>
        <w:rPr>
          <w:sz w:val="22"/>
          <w:szCs w:val="22"/>
        </w:rPr>
        <w:t>).</w:t>
      </w:r>
    </w:p>
    <w:p>
      <w:pPr>
        <w:pStyle w:val="Heading2"/>
        <w:numPr>
          <w:ilvl w:val="0"/>
          <w:numId w:val="0"/>
        </w:numPr>
        <w:ind w:left="0" w:hanging="0"/>
        <w:rPr>
          <w:sz w:val="22"/>
          <w:szCs w:val="22"/>
        </w:rPr>
      </w:pPr>
      <w:r>
        <w:rPr>
          <w:sz w:val="22"/>
          <w:szCs w:val="22"/>
        </w:rPr>
        <w:t>Condiciones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ind w:left="707" w:hanging="283"/>
        <w:rPr/>
      </w:pPr>
      <w:r>
        <w:rPr>
          <w:sz w:val="22"/>
          <w:szCs w:val="22"/>
        </w:rPr>
        <w:t xml:space="preserve">Moneda: </w:t>
      </w:r>
      <w:r>
        <w:rPr>
          <w:rStyle w:val="StrongEmphasis"/>
          <w:sz w:val="22"/>
          <w:szCs w:val="22"/>
        </w:rPr>
        <w:t>USD</w:t>
      </w:r>
      <w:r>
        <w:rPr>
          <w:sz w:val="22"/>
          <w:szCs w:val="22"/>
        </w:rPr>
        <w:t xml:space="preserve">. Validez: </w:t>
      </w:r>
      <w:r>
        <w:rPr>
          <w:rStyle w:val="StrongEmphasis"/>
          <w:sz w:val="22"/>
          <w:szCs w:val="22"/>
        </w:rPr>
        <w:t>30 días</w:t>
      </w:r>
      <w:r>
        <w:rPr>
          <w:sz w:val="22"/>
          <w:szCs w:val="22"/>
        </w:rPr>
        <w:t>.</w:t>
      </w:r>
    </w:p>
    <w:p>
      <w:pPr>
        <w:pStyle w:val="TextBody"/>
        <w:numPr>
          <w:ilvl w:val="0"/>
          <w:numId w:val="0"/>
        </w:numPr>
        <w:ind w:left="707" w:hanging="0"/>
        <w:rPr>
          <w:sz w:val="22"/>
          <w:szCs w:val="22"/>
        </w:rPr>
      </w:pPr>
      <w:r>
        <w:rPr/>
      </w:r>
    </w:p>
    <w:p>
      <w:pPr>
        <w:pStyle w:val="TextBody"/>
        <w:bidi w:val="0"/>
        <w:spacing w:before="240" w:after="12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LibreOffice/6.4.7.2$Linux_X86_64 LibreOffice_project/40$Build-2</Application>
  <Pages>2</Pages>
  <Words>412</Words>
  <Characters>2383</Characters>
  <CharactersWithSpaces>2729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2025-11-05T09:07:45Z</dcterms:created>
  <dc:creator/>
  <dc:description/>
  <dc:language>en-US</dc:language>
  <cp:lastModifiedBy/>
  <dcterms:modified xsi:type="dcterms:W3CDTF">2025-11-05T21:39:39Z</dcterms:modified>
  <cp:revision>2</cp:revision>
  <dc:subject/>
  <dc:title/>
</cp:coreProperties>
</file>