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2174"/>
          <w:sz w:val="36"/>
          <w:szCs w:val="36"/>
        </w:rPr>
        <w:t xml:space="preserve">NEOSDOC</w:t>
      </w:r>
    </w:p>
    <w:p>
      <w:pPr>
        <w:spacing w:after="100"/>
      </w:pPr>
      <w:r>
        <w:rPr>
          <w:b/>
          <w:bCs/>
          <w:color w:val="003FA3"/>
          <w:sz w:val="26"/>
          <w:szCs w:val="26"/>
        </w:rPr>
        <w:t xml:space="preserve">Paleta de colores exacta — Perfil público del médico</w:t>
      </w:r>
    </w:p>
    <w:p>
      <w:pPr>
        <w:spacing w:after="240"/>
      </w:pPr>
      <w:r>
        <w:rPr>
          <w:i/>
          <w:iCs/>
          <w:color w:val="01B5BD"/>
          <w:sz w:val="20"/>
          <w:szCs w:val="20"/>
        </w:rPr>
        <w:t xml:space="preserve">Códigos hexadecimales para reproducir el diseño de referencia tal cual</w:t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1. Colores oficiales de marca NEOSDOC (fuente principal)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Estos son los colores oficiales de la marca, ya definidos. Deben usarse en todo elemento que represente identidad de NEOSDOC: header, textos principales, botones de marca, insignias.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400"/>
        <w:gridCol w:w="4960"/>
      </w:tblGrid>
      <w:tr>
        <w:trPr>
          <w:tblHeader/>
        </w:trPr>
        <w:tc>
          <w:tcPr>
            <w:tcW w:type="dxa" w:w="90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96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900"/>
            <w:shd w:fill="002174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Azul oscuro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#002174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Textos principales (nombre del médico), fondo de header/franjas oscuras, logo.</w:t>
            </w:r>
          </w:p>
        </w:tc>
      </w:tr>
      <w:tr>
        <w:tc>
          <w:tcPr>
            <w:tcW w:type="dxa" w:w="900"/>
            <w:shd w:fill="003FA3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Azul medio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#003FA3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Textos secundarios (especialidad, enlaces), insignia "Médico Fundador", íconos.</w:t>
            </w:r>
          </w:p>
        </w:tc>
      </w:tr>
      <w:tr>
        <w:tc>
          <w:tcPr>
            <w:tcW w:type="dxa" w:w="900"/>
            <w:shd w:fill="01B5BD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Turquesa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#01B5BD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Botón "Agendar cita", acentos, elementos interactivos destacados.</w:t>
            </w:r>
          </w:p>
        </w:tc>
      </w:tr>
      <w:tr>
        <w:tc>
          <w:tcPr>
            <w:tcW w:type="dxa" w:w="900"/>
            <w:shd w:fill="03CECE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Turquesa claro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#03CECE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Detalles pequeños, pin de mapa, acentos secundarios.</w:t>
            </w:r>
          </w:p>
        </w:tc>
      </w:tr>
    </w:tbl>
    <w:p>
      <w:pPr>
        <w:spacing w:after="140" w:line="300"/>
      </w:pPr>
      <w:r>
        <w:rPr>
          <w:color w:val="444444"/>
          <w:sz w:val="22"/>
          <w:szCs w:val="22"/>
        </w:rPr>
        <w:t xml:space="preserve"/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2. Colores complementarios (extraídos de la imagen de referencia)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Estos colores no forman parte de la paleta oficial de marca — se usan como acentos funcionales/semánticos (estados, notificaciones de terceros como WhatsApp). Fueron muestreados directamente de la imagen de referencia compartida.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400"/>
        <w:gridCol w:w="4960"/>
      </w:tblGrid>
      <w:tr>
        <w:trPr>
          <w:tblHeader/>
        </w:trPr>
        <w:tc>
          <w:tcPr>
            <w:tcW w:type="dxa" w:w="90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960"/>
            <w:shd w:fill="0021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900"/>
            <w:shd w:fill="FDB52B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Dorado (Racha Oro)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#FDB52B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Fondo de la insignia de racha nivel Oro.</w:t>
            </w:r>
          </w:p>
        </w:tc>
      </w:tr>
      <w:tr>
        <w:tc>
          <w:tcPr>
            <w:tcW w:type="dxa" w:w="900"/>
            <w:shd w:fill="25D366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Verde WhatsApp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#25D366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Botón "Contactar por WhatsApp" — usar el verde oficial de marca WhatsApp, no el de la imagen (más preciso para reconocimiento del usuario).</w:t>
            </w:r>
          </w:p>
        </w:tc>
      </w:tr>
      <w:tr>
        <w:tc>
          <w:tcPr>
            <w:tcW w:type="dxa" w:w="900"/>
            <w:shd w:fill="04B58F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Verde disponibilidad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#04B58F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Indicador de "Agenda disponible" y día resaltado en el horario semanal.</w:t>
            </w:r>
          </w:p>
        </w:tc>
      </w:tr>
      <w:tr>
        <w:tc>
          <w:tcPr>
            <w:tcW w:type="dxa" w:w="900"/>
            <w:shd w:fill="0073F4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Azul brillante (verificado)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#0073F4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Fondo del sello "Perfil verificado por NeosDoc" e ícono de check junto al nombre.</w:t>
            </w:r>
          </w:p>
        </w:tc>
      </w:tr>
      <w:tr>
        <w:tc>
          <w:tcPr>
            <w:tcW w:type="dxa" w:w="900"/>
            <w:shd w:fill="EAF6FE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Fondo general de página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#EAF6FE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Color de fondo detrás de las tarjetas blancas, en toda la pantalla.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Fondo de tarjetas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Fondo blanco de cada sección/tarjeta del perfil.</w:t>
            </w:r>
          </w:p>
        </w:tc>
      </w:tr>
    </w:tbl>
    <w:p>
      <w:pPr>
        <w:spacing w:after="140" w:line="300"/>
      </w:pPr>
      <w:r>
        <w:rPr>
          <w:color w:val="444444"/>
          <w:sz w:val="22"/>
          <w:szCs w:val="22"/>
        </w:rPr>
        <w:t xml:space="preserve"/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3. Nota importante sobre precisión de estos colores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La imagen de referencia fue generada por una IA de imágenes (ChatGPT), no es un archivo de diseño real (Figma, Sketch, etc.) — por lo tanto, sus colores no son "oficiales" por definición, solo una aproximación visual de lo que se buscaba lograr. Los códigos de la sección 1 (marca NEOSDOC) son los que deben respetarse siempre, sin excepción. Los códigos de la sección 2 fueron extraídos por muestreo directo de píxeles de la imagen y sirven como referencia cercana, pero el desarrollador tiene libertad de ajustarlos ligeramente si algún tono no se ve bien en pantalla real.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Los fondos claros de los íconos circulares (ej. detrás del ícono de especialidad o formación académica) no necesitan un código fijo — se recomienda generarlos como el color de marca correspondiente (Azul medio o Turquesa) al 10-12% de opacidad sobre blanco, para que se ajusten automáticamente si la paleta cambia en el futuro.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2026-09-11T02:21:10.377Z</dcterms:created>
  <dcterms:modified xsi:type="dcterms:W3CDTF">2026-09-11T02:21:10.390Z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