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56"/>
        </w:rPr>
        <w:br/>
        <w:br/>
        <w:br/>
        <w:br/>
        <w:br/>
        <w:t xml:space="preserve">         Qualis LIMS (ReactJS) 1.0</w:t>
      </w:r>
    </w:p>
    <w:p>
      <w:r>
        <w:rPr>
          <w:rFonts w:ascii="Arial" w:hAnsi="Arial"/>
          <w:b/>
          <w:sz w:val="56"/>
        </w:rPr>
        <w:t xml:space="preserve">          Installation Qualification</w:t>
        <w:br/>
      </w:r>
    </w:p>
    <w:p>
      <w:r>
        <w:rPr>
          <w:rFonts w:ascii="Arial" w:hAnsi="Arial"/>
          <w:sz w:val="1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This information is believed to be complete and accurate as of publication, and is subject to change without notice.</w:t>
      </w:r>
    </w:p>
    <w:p>
      <w:r>
        <w:rPr>
          <w:rFonts w:ascii="Arial" w:hAnsi="Arial"/>
          <w:sz w:val="18"/>
        </w:rPr>
        <w:t xml:space="preserve">                                  Copyright © 2000—2010 Agaram Technologies. All rights reserved.</w:t>
        <w:br/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Contents</w:t>
      </w:r>
    </w:p>
    <w:p>
      <w:pPr>
        <w:pStyle w:val="ListNumber"/>
      </w:pPr>
      <w:r>
        <w:t xml:space="preserve">  Purpose</w:t>
        <w:br/>
      </w:r>
    </w:p>
    <w:p>
      <w:pPr>
        <w:pStyle w:val="ListNumber2"/>
      </w:pPr>
      <w:r>
        <w:t xml:space="preserve">  Purpose</w:t>
      </w:r>
    </w:p>
    <w:p>
      <w:pPr>
        <w:pStyle w:val="ListNumber"/>
      </w:pPr>
      <w:r>
        <w:t xml:space="preserve">  Scope</w:t>
        <w:br/>
      </w:r>
    </w:p>
    <w:p>
      <w:pPr>
        <w:pStyle w:val="ListNumber"/>
      </w:pPr>
      <w:r>
        <w:t xml:space="preserve">  Validation Methodology</w:t>
        <w:br/>
      </w:r>
    </w:p>
    <w:p>
      <w:pPr>
        <w:pStyle w:val="ListNumber"/>
      </w:pPr>
      <w:r>
        <w:t xml:space="preserve">  Acronyms</w:t>
        <w:br/>
      </w:r>
    </w:p>
    <w:p>
      <w:pPr>
        <w:pStyle w:val="ListNumber"/>
      </w:pPr>
      <w:r>
        <w:t xml:space="preserve">  System Description</w:t>
        <w:br/>
      </w:r>
    </w:p>
    <w:p>
      <w:pPr>
        <w:pStyle w:val="ListNumber2"/>
      </w:pPr>
      <w:r>
        <w:t xml:space="preserve">  Introduction</w:t>
        <w:br/>
      </w:r>
    </w:p>
    <w:p>
      <w:pPr>
        <w:pStyle w:val="ListNumber2"/>
      </w:pPr>
      <w:r>
        <w:t xml:space="preserve">  Work Flow</w:t>
        <w:br/>
      </w:r>
    </w:p>
    <w:p>
      <w:pPr>
        <w:pStyle w:val="ListNumber"/>
      </w:pPr>
      <w:r>
        <w:t xml:space="preserve">  Responsibilities</w:t>
        <w:br/>
      </w:r>
    </w:p>
    <w:p>
      <w:pPr>
        <w:pStyle w:val="ListNumber"/>
      </w:pPr>
      <w:r>
        <w:t xml:space="preserve">  Test Plan</w:t>
        <w:br/>
      </w:r>
    </w:p>
    <w:p>
      <w:pPr>
        <w:pStyle w:val="ListNumber2"/>
      </w:pPr>
      <w:r>
        <w:t xml:space="preserve">  Prerequisites Review</w:t>
        <w:br/>
      </w:r>
    </w:p>
    <w:p>
      <w:pPr>
        <w:pStyle w:val="ListNumber2"/>
      </w:pPr>
      <w:r>
        <w:t xml:space="preserve">  Computer System Specification and Power Supply</w:t>
        <w:br/>
      </w:r>
    </w:p>
    <w:p>
      <w:pPr>
        <w:pStyle w:val="ListNumber2"/>
      </w:pPr>
      <w:r>
        <w:t xml:space="preserve">  Software Review</w:t>
        <w:br/>
      </w:r>
    </w:p>
    <w:p>
      <w:pPr>
        <w:pStyle w:val="ListNumber2"/>
      </w:pPr>
      <w:r>
        <w:t xml:space="preserve">  Qualis Installation Verification</w:t>
        <w:br/>
      </w:r>
    </w:p>
    <w:p>
      <w:pPr>
        <w:pStyle w:val="ListNumber2"/>
      </w:pPr>
      <w:r>
        <w:t xml:space="preserve">  Verifying components of the Qualis</w:t>
        <w:br/>
      </w:r>
    </w:p>
    <w:p>
      <w:pPr>
        <w:pStyle w:val="ListNumber"/>
      </w:pPr>
      <w:r>
        <w:t xml:space="preserve">  Qualification Support Environment screen shots</w:t>
        <w:br/>
      </w:r>
    </w:p>
    <w:p>
      <w:pPr>
        <w:pStyle w:val="ListNumber"/>
      </w:pPr>
      <w:r>
        <w:t xml:space="preserve">  Deficiency and Change Request Log</w:t>
        <w:br/>
      </w:r>
    </w:p>
    <w:p>
      <w:pPr>
        <w:pStyle w:val="ListNumber"/>
      </w:pPr>
      <w:r>
        <w:t xml:space="preserve">  Document Approval</w:t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1. Purpose</w:t>
      </w:r>
    </w:p>
    <w:p>
      <w:r>
        <w:rPr>
          <w:rFonts w:ascii="Arial" w:hAnsi="Arial"/>
          <w:sz w:val="22"/>
        </w:rPr>
        <w:t xml:space="preserve">          The objective of this protocol is to verify the installation of the Qualis LIMS program and to </w:t>
        <w:br/>
        <w:t xml:space="preserve">          verify that it performs its intended function in a consistent and reproducible manner. Specific </w:t>
        <w:br/>
        <w:t xml:space="preserve">           test objectives and acceptance criteria are defined. </w:t>
      </w:r>
    </w:p>
    <w:p>
      <w:r>
        <w:rPr>
          <w:rFonts w:ascii="Cambria" w:hAnsi="Cambria"/>
          <w:b/>
          <w:color w:val="0604FF"/>
          <w:sz w:val="28"/>
        </w:rPr>
        <w:t>1.1.   Installation Qualification</w:t>
      </w:r>
    </w:p>
    <w:p>
      <w:r>
        <w:rPr>
          <w:rFonts w:ascii="Arial" w:hAnsi="Arial"/>
          <w:sz w:val="22"/>
        </w:rPr>
        <w:t xml:space="preserve">          The Installation Qualification consists of tests to ensure that the components of the Qualis </w:t>
        <w:br/>
        <w:t xml:space="preserve">          LIMS program have been properly installed. Specific test objectives and acceptance criteria </w:t>
        <w:br/>
        <w:t xml:space="preserve">           are defined.. </w:t>
      </w:r>
    </w:p>
    <w:p>
      <w:r>
        <w:rPr>
          <w:rFonts w:ascii="Cambria" w:hAnsi="Cambria"/>
          <w:b/>
          <w:color w:val="0604FF"/>
          <w:sz w:val="28"/>
        </w:rPr>
        <w:t>2.  Scope</w:t>
      </w:r>
    </w:p>
    <w:p>
      <w:r>
        <w:rPr>
          <w:rFonts w:ascii="Arial" w:hAnsi="Arial"/>
          <w:sz w:val="22"/>
        </w:rPr>
        <w:t xml:space="preserve">          This protocol specifies the Installation Qualification tests that are to be applied to the Qualis </w:t>
        <w:br/>
        <w:t xml:space="preserve">          LIMS program, which will be used in a cGMP/cGLP environment, for the purpose of verifying </w:t>
        <w:br/>
        <w:t xml:space="preserve">          proper installation. The Qualis LIMS is installed to manage Laboratory workflows and data </w:t>
        <w:br/>
        <w:t xml:space="preserve">          proper installation. The Qualis LIMS is installed to manage Laboratory workflows and data </w:t>
        <w:br/>
        <w:t xml:space="preserve">          proper installation. The Qualis LIMS is installed to manage Laboratory workflows and data </w:t>
        <w:br/>
        <w:t xml:space="preserve">          Changes made to the software and/or computer systems after validation is completed must  </w:t>
        <w:br/>
        <w:t xml:space="preserve">          be conducted under the appropriate system change control procedure. Parts of the protocol </w:t>
        <w:br/>
        <w:t xml:space="preserve">          may be used for reconfirmation or revalidation, if necessary. </w:t>
        <w:br/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8. Qualification Support Environment screen shots</w:t>
      </w:r>
    </w:p>
    <w:p>
      <w:r>
        <w:rPr>
          <w:rFonts w:ascii="Calibri" w:hAnsi="Calibri"/>
          <w:b/>
          <w:sz w:val="22"/>
        </w:rPr>
        <w:t>Tomcat</w:t>
      </w:r>
    </w:p>
    <w:p>
      <w:r>
        <w:drawing>
          <wp:inline xmlns:a="http://schemas.openxmlformats.org/drawingml/2006/main" xmlns:pic="http://schemas.openxmlformats.org/drawingml/2006/picture">
            <wp:extent cx="64008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mca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22"/>
        </w:rPr>
        <w:t>ADS Services</w:t>
      </w:r>
    </w:p>
    <w:p>
      <w:r>
        <w:drawing>
          <wp:inline xmlns:a="http://schemas.openxmlformats.org/drawingml/2006/main" xmlns:pic="http://schemas.openxmlformats.org/drawingml/2006/picture">
            <wp:extent cx="6400800" cy="3200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rvic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1440" w:bottom="1440" w:left="11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INSTALLATION QUALIFICATION</w:t>
    </w:r>
  </w:p>
  <w:tbl>
    <w:tblPr>
      <w:tblW w:type="auto" w:w="0"/>
      <w:tblLook w:firstColumn="1" w:firstRow="1" w:lastColumn="0" w:lastRow="0" w:noHBand="0" w:noVBand="1" w:val="04A0"/>
    </w:tblPr>
    <w:tblGrid>
      <w:gridCol w:w="4800"/>
      <w:gridCol w:w="4800"/>
      <w:gridCol w:w="4800"/>
    </w:tblGrid>
    <w:tr>
      <w:tc>
        <w:tcPr>
          <w:tcW w:type="dxa" w:w="4800"/>
        </w:tcPr>
        <w:p/>
      </w:tc>
      <w:tc>
        <w:tcPr>
          <w:tcW w:type="dxa" w:w="4800"/>
        </w:tcPr>
        <w:p/>
      </w:tc>
      <w:tc>
        <w:tcPr>
          <w:tcW w:type="dxa" w:w="4800"/>
        </w:tcPr>
        <w:p/>
      </w:tc>
    </w:tr>
    <w:tr>
      <w:tc>
        <w:tcPr>
          <w:tcW w:type="dxa" w:w="4800"/>
        </w:tcPr>
        <w:p>
          <w:r>
            <w:t>INSTALL</w:t>
          </w:r>
        </w:p>
      </w:tc>
      <w:tc>
        <w:tcPr>
          <w:tcW w:type="dxa" w:w="4800"/>
        </w:tcPr>
        <w:p/>
      </w:tc>
      <w:tc>
        <w:tcPr>
          <w:tcW w:type="dxa" w:w="480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