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6D80" w:rsidRDefault="00357248">
      <w:pPr>
        <w:pStyle w:val="NoSpacing"/>
        <w:spacing w:line="480" w:lineRule="auto"/>
        <w:jc w:val="center"/>
        <w:rPr>
          <w:sz w:val="24"/>
          <w:szCs w:val="24"/>
        </w:rPr>
      </w:pPr>
      <w:r>
        <w:rPr>
          <w:sz w:val="24"/>
          <w:szCs w:val="24"/>
        </w:rPr>
        <w:br/>
      </w:r>
      <w:r>
        <w:rPr>
          <w:sz w:val="24"/>
          <w:szCs w:val="24"/>
        </w:rPr>
        <w:br/>
      </w:r>
      <w:r>
        <w:rPr>
          <w:sz w:val="24"/>
          <w:szCs w:val="24"/>
        </w:rPr>
        <w:br/>
      </w:r>
      <w:r>
        <w:rPr>
          <w:sz w:val="24"/>
          <w:szCs w:val="24"/>
        </w:rPr>
        <w:br/>
      </w:r>
      <w:r>
        <w:rPr>
          <w:sz w:val="24"/>
          <w:szCs w:val="24"/>
        </w:rPr>
        <w:br/>
      </w:r>
    </w:p>
    <w:p w:rsidR="00EE6D80" w:rsidRDefault="00357248">
      <w:pPr>
        <w:pStyle w:val="NoSpacing"/>
        <w:spacing w:line="480" w:lineRule="auto"/>
        <w:jc w:val="center"/>
        <w:rPr>
          <w:color w:val="000000"/>
          <w:sz w:val="24"/>
          <w:szCs w:val="24"/>
        </w:rPr>
      </w:pPr>
      <w:proofErr w:type="spellStart"/>
      <w:r>
        <w:rPr>
          <w:color w:val="000000"/>
          <w:sz w:val="24"/>
          <w:szCs w:val="24"/>
        </w:rPr>
        <w:t>Locognosia</w:t>
      </w:r>
      <w:proofErr w:type="spellEnd"/>
      <w:r>
        <w:rPr>
          <w:color w:val="000000"/>
          <w:sz w:val="24"/>
          <w:szCs w:val="24"/>
        </w:rPr>
        <w:t xml:space="preserve"> in Amputees</w:t>
      </w:r>
    </w:p>
    <w:p w:rsidR="00EE6D80" w:rsidRDefault="00357248">
      <w:pPr>
        <w:pStyle w:val="NoSpacing"/>
        <w:spacing w:line="480" w:lineRule="auto"/>
        <w:jc w:val="center"/>
        <w:rPr>
          <w:color w:val="000000"/>
          <w:sz w:val="24"/>
          <w:szCs w:val="24"/>
        </w:rPr>
      </w:pPr>
      <w:r>
        <w:rPr>
          <w:color w:val="000000"/>
          <w:sz w:val="24"/>
          <w:szCs w:val="24"/>
        </w:rPr>
        <w:t xml:space="preserve">Nathan A. </w:t>
      </w:r>
      <w:proofErr w:type="spellStart"/>
      <w:r>
        <w:rPr>
          <w:color w:val="000000"/>
          <w:sz w:val="24"/>
          <w:szCs w:val="24"/>
        </w:rPr>
        <w:t>Baune</w:t>
      </w:r>
      <w:proofErr w:type="spellEnd"/>
    </w:p>
    <w:p w:rsidR="00EE6D80" w:rsidRDefault="00357248">
      <w:pPr>
        <w:pStyle w:val="NoSpacing"/>
        <w:spacing w:line="480" w:lineRule="auto"/>
        <w:jc w:val="center"/>
        <w:rPr>
          <w:color w:val="000000"/>
          <w:sz w:val="24"/>
          <w:szCs w:val="24"/>
        </w:rPr>
      </w:pPr>
      <w:r>
        <w:rPr>
          <w:color w:val="000000"/>
          <w:sz w:val="24"/>
          <w:szCs w:val="24"/>
        </w:rPr>
        <w:t>University of Missouri-Columbia</w:t>
      </w:r>
    </w:p>
    <w:p w:rsidR="00EE6D80" w:rsidRDefault="00357248">
      <w:pPr>
        <w:pStyle w:val="NoSpacing"/>
        <w:spacing w:line="480" w:lineRule="auto"/>
        <w:rPr>
          <w:sz w:val="24"/>
          <w:szCs w:val="24"/>
        </w:rPr>
      </w:pPr>
      <w:r>
        <w:rPr>
          <w:sz w:val="24"/>
          <w:szCs w:val="24"/>
        </w:rPr>
        <w:br/>
      </w:r>
      <w:r>
        <w:rPr>
          <w:sz w:val="24"/>
          <w:szCs w:val="24"/>
        </w:rPr>
        <w:br/>
      </w: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jc w:val="center"/>
      </w:pPr>
    </w:p>
    <w:p w:rsidR="00EE6D80" w:rsidRDefault="00357248">
      <w:pPr>
        <w:pStyle w:val="NoSpacing"/>
        <w:spacing w:line="480" w:lineRule="auto"/>
        <w:jc w:val="center"/>
        <w:rPr>
          <w:color w:val="000000"/>
          <w:sz w:val="24"/>
          <w:szCs w:val="24"/>
        </w:rPr>
      </w:pPr>
      <w:r>
        <w:rPr>
          <w:color w:val="000000"/>
          <w:sz w:val="24"/>
          <w:szCs w:val="24"/>
        </w:rPr>
        <w:lastRenderedPageBreak/>
        <w:t>Abstract</w:t>
      </w:r>
    </w:p>
    <w:p w:rsidR="00EE6D80" w:rsidRDefault="00EE6D80">
      <w:pPr>
        <w:pStyle w:val="NoSpacing"/>
        <w:spacing w:line="480" w:lineRule="auto"/>
        <w:rPr>
          <w:color w:val="000000"/>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color w:val="000000"/>
          <w:sz w:val="24"/>
          <w:szCs w:val="24"/>
        </w:rPr>
      </w:pPr>
    </w:p>
    <w:p w:rsidR="00EE6D80" w:rsidRDefault="00EE6D80">
      <w:pPr>
        <w:pStyle w:val="NoSpacing"/>
        <w:spacing w:line="480" w:lineRule="auto"/>
        <w:jc w:val="center"/>
      </w:pPr>
    </w:p>
    <w:p w:rsidR="00EE6D80" w:rsidRDefault="00EE6D80">
      <w:pPr>
        <w:pStyle w:val="NoSpacing"/>
        <w:spacing w:line="480" w:lineRule="auto"/>
        <w:jc w:val="center"/>
      </w:pPr>
    </w:p>
    <w:p w:rsidR="00EE6D80" w:rsidRDefault="00357248">
      <w:pPr>
        <w:pStyle w:val="NoSpacing"/>
        <w:spacing w:line="480" w:lineRule="auto"/>
        <w:jc w:val="center"/>
        <w:rPr>
          <w:color w:val="000000"/>
          <w:sz w:val="24"/>
          <w:szCs w:val="24"/>
        </w:rPr>
      </w:pPr>
      <w:proofErr w:type="spellStart"/>
      <w:r>
        <w:rPr>
          <w:color w:val="000000"/>
          <w:sz w:val="24"/>
          <w:szCs w:val="24"/>
        </w:rPr>
        <w:lastRenderedPageBreak/>
        <w:t>Locognosia</w:t>
      </w:r>
      <w:proofErr w:type="spellEnd"/>
      <w:r>
        <w:rPr>
          <w:color w:val="000000"/>
          <w:sz w:val="24"/>
          <w:szCs w:val="24"/>
        </w:rPr>
        <w:t xml:space="preserve"> in Amputees</w:t>
      </w:r>
    </w:p>
    <w:p w:rsidR="00EE6D80" w:rsidRDefault="00357248">
      <w:pPr>
        <w:pStyle w:val="NoSpacing"/>
        <w:spacing w:line="480" w:lineRule="auto"/>
        <w:rPr>
          <w:color w:val="000000"/>
          <w:sz w:val="24"/>
          <w:szCs w:val="24"/>
        </w:rPr>
      </w:pPr>
      <w:r>
        <w:rPr>
          <w:color w:val="000000"/>
          <w:sz w:val="24"/>
          <w:szCs w:val="24"/>
        </w:rPr>
        <w:tab/>
      </w:r>
      <w:r>
        <w:rPr>
          <w:color w:val="000000"/>
          <w:sz w:val="24"/>
          <w:szCs w:val="24"/>
        </w:rPr>
        <w:t xml:space="preserve">A wealth of studies have reported cortical reorganization following injury to the peripheral nervous system both in humans </w:t>
      </w:r>
      <w:bookmarkStart w:id="0" w:name="ZOTERO_BREF_tZ0bqRnAa0ee1111111111111111"/>
      <w:bookmarkStart w:id="1" w:name="ZOTERO_BREF_T32bJPzavbKj1111111111111111"/>
      <w:r>
        <w:rPr>
          <w:color w:val="000000"/>
          <w:sz w:val="24"/>
          <w:szCs w:val="24"/>
        </w:rPr>
        <w:t>(</w:t>
      </w:r>
      <w:proofErr w:type="spellStart"/>
      <w:r>
        <w:rPr>
          <w:color w:val="000000"/>
          <w:sz w:val="24"/>
          <w:szCs w:val="24"/>
        </w:rPr>
        <w:t>Bogdanov</w:t>
      </w:r>
      <w:proofErr w:type="spellEnd"/>
      <w:r>
        <w:rPr>
          <w:color w:val="000000"/>
          <w:sz w:val="24"/>
          <w:szCs w:val="24"/>
        </w:rPr>
        <w:t xml:space="preserve">, Smith, &amp; Frey, 2012; Elbert et al., 1994; Karl, </w:t>
      </w:r>
      <w:proofErr w:type="spellStart"/>
      <w:r>
        <w:rPr>
          <w:color w:val="000000"/>
          <w:sz w:val="24"/>
          <w:szCs w:val="24"/>
        </w:rPr>
        <w:t>Birbaumer</w:t>
      </w:r>
      <w:proofErr w:type="spellEnd"/>
      <w:r>
        <w:rPr>
          <w:color w:val="000000"/>
          <w:sz w:val="24"/>
          <w:szCs w:val="24"/>
        </w:rPr>
        <w:t xml:space="preserve">, </w:t>
      </w:r>
      <w:proofErr w:type="spellStart"/>
      <w:r>
        <w:rPr>
          <w:color w:val="000000"/>
          <w:sz w:val="24"/>
          <w:szCs w:val="24"/>
        </w:rPr>
        <w:t>Lutzenberger</w:t>
      </w:r>
      <w:proofErr w:type="spellEnd"/>
      <w:r>
        <w:rPr>
          <w:color w:val="000000"/>
          <w:sz w:val="24"/>
          <w:szCs w:val="24"/>
        </w:rPr>
        <w:t xml:space="preserve">, Cohen, &amp; </w:t>
      </w:r>
      <w:proofErr w:type="spellStart"/>
      <w:r>
        <w:rPr>
          <w:color w:val="000000"/>
          <w:sz w:val="24"/>
          <w:szCs w:val="24"/>
        </w:rPr>
        <w:t>Flor</w:t>
      </w:r>
      <w:proofErr w:type="spellEnd"/>
      <w:r>
        <w:rPr>
          <w:color w:val="000000"/>
          <w:sz w:val="24"/>
          <w:szCs w:val="24"/>
        </w:rPr>
        <w:t>, 2001)</w:t>
      </w:r>
      <w:bookmarkEnd w:id="0"/>
      <w:bookmarkEnd w:id="1"/>
      <w:r>
        <w:rPr>
          <w:color w:val="000000"/>
          <w:sz w:val="24"/>
          <w:szCs w:val="24"/>
        </w:rPr>
        <w:t xml:space="preserve"> and animals </w:t>
      </w:r>
      <w:bookmarkStart w:id="2" w:name="ZOTERO_BREF_8OWVHV4x8aG01111111111111111"/>
      <w:r>
        <w:rPr>
          <w:color w:val="000000"/>
          <w:sz w:val="24"/>
          <w:szCs w:val="24"/>
        </w:rPr>
        <w:t xml:space="preserve">(Endo, </w:t>
      </w:r>
      <w:proofErr w:type="spellStart"/>
      <w:r>
        <w:rPr>
          <w:color w:val="000000"/>
          <w:sz w:val="24"/>
          <w:szCs w:val="24"/>
        </w:rPr>
        <w:t>Spenger</w:t>
      </w:r>
      <w:proofErr w:type="spellEnd"/>
      <w:r>
        <w:rPr>
          <w:color w:val="000000"/>
          <w:sz w:val="24"/>
          <w:szCs w:val="24"/>
        </w:rPr>
        <w:t xml:space="preserve">, </w:t>
      </w:r>
      <w:proofErr w:type="spellStart"/>
      <w:r>
        <w:rPr>
          <w:color w:val="000000"/>
          <w:sz w:val="24"/>
          <w:szCs w:val="24"/>
        </w:rPr>
        <w:t>Tominaga</w:t>
      </w:r>
      <w:proofErr w:type="spellEnd"/>
      <w:r>
        <w:rPr>
          <w:color w:val="000000"/>
          <w:sz w:val="24"/>
          <w:szCs w:val="24"/>
        </w:rPr>
        <w:t xml:space="preserve">, </w:t>
      </w:r>
      <w:proofErr w:type="spellStart"/>
      <w:r>
        <w:rPr>
          <w:color w:val="000000"/>
          <w:sz w:val="24"/>
          <w:szCs w:val="24"/>
        </w:rPr>
        <w:t>Brene</w:t>
      </w:r>
      <w:proofErr w:type="spellEnd"/>
      <w:r>
        <w:rPr>
          <w:color w:val="000000"/>
          <w:sz w:val="24"/>
          <w:szCs w:val="24"/>
        </w:rPr>
        <w:t xml:space="preserve">, &amp; Olson, 2007; Jenkins, </w:t>
      </w:r>
      <w:proofErr w:type="spellStart"/>
      <w:r>
        <w:rPr>
          <w:color w:val="000000"/>
          <w:sz w:val="24"/>
          <w:szCs w:val="24"/>
        </w:rPr>
        <w:t>Merzenich</w:t>
      </w:r>
      <w:proofErr w:type="spellEnd"/>
      <w:r>
        <w:rPr>
          <w:color w:val="000000"/>
          <w:sz w:val="24"/>
          <w:szCs w:val="24"/>
        </w:rPr>
        <w:t xml:space="preserve">, Ochs, Allard, &amp; </w:t>
      </w:r>
      <w:proofErr w:type="spellStart"/>
      <w:r>
        <w:rPr>
          <w:color w:val="000000"/>
          <w:sz w:val="24"/>
          <w:szCs w:val="24"/>
        </w:rPr>
        <w:t>Guic</w:t>
      </w:r>
      <w:proofErr w:type="spellEnd"/>
      <w:r>
        <w:rPr>
          <w:color w:val="000000"/>
          <w:sz w:val="24"/>
          <w:szCs w:val="24"/>
        </w:rPr>
        <w:t>-Robles, 1990; Wall et al., 1986)</w:t>
      </w:r>
      <w:bookmarkEnd w:id="2"/>
      <w:r>
        <w:rPr>
          <w:color w:val="000000"/>
          <w:sz w:val="24"/>
          <w:szCs w:val="24"/>
        </w:rPr>
        <w:t>. After amputation of a limb the loss of afferent input results in a transient loss of activity in the respective cortical region. Reorganization occur</w:t>
      </w:r>
      <w:r>
        <w:rPr>
          <w:color w:val="000000"/>
          <w:sz w:val="24"/>
          <w:szCs w:val="24"/>
        </w:rPr>
        <w:t xml:space="preserve">s as intact cortical fields advance into the inactive region resulting in increased cortical representations. This increased representation has been posited as a mechanism behind the proposed increases in sensory acuity on the stump of amputees. One study </w:t>
      </w:r>
      <w:r>
        <w:rPr>
          <w:color w:val="000000"/>
          <w:sz w:val="24"/>
          <w:szCs w:val="24"/>
        </w:rPr>
        <w:t>found lower tactile detection thresholds, increased point localization (</w:t>
      </w:r>
      <w:proofErr w:type="spellStart"/>
      <w:r>
        <w:rPr>
          <w:color w:val="000000"/>
          <w:sz w:val="24"/>
          <w:szCs w:val="24"/>
        </w:rPr>
        <w:t>locognosia</w:t>
      </w:r>
      <w:proofErr w:type="spellEnd"/>
      <w:r>
        <w:rPr>
          <w:color w:val="000000"/>
          <w:sz w:val="24"/>
          <w:szCs w:val="24"/>
        </w:rPr>
        <w:t>), and better two-point discrimination among amputees (Haber, 1955).</w:t>
      </w:r>
    </w:p>
    <w:p w:rsidR="00EE6D80" w:rsidRDefault="00357248">
      <w:pPr>
        <w:pStyle w:val="NoSpacing"/>
        <w:spacing w:line="480" w:lineRule="auto"/>
        <w:rPr>
          <w:color w:val="000000"/>
          <w:sz w:val="24"/>
          <w:szCs w:val="24"/>
        </w:rPr>
      </w:pPr>
      <w:r>
        <w:rPr>
          <w:color w:val="000000"/>
          <w:sz w:val="24"/>
          <w:szCs w:val="24"/>
        </w:rPr>
        <w:t>Though another study found that even though some amputee patients reported increased sensitivity on the a</w:t>
      </w:r>
      <w:r>
        <w:rPr>
          <w:color w:val="000000"/>
          <w:sz w:val="24"/>
          <w:szCs w:val="24"/>
        </w:rPr>
        <w:t xml:space="preserve">mputated stump, objective measures of tactile threshold and two point discrimination did not significantly vary from their intact limb, except at areas of scar tissue </w:t>
      </w:r>
      <w:bookmarkStart w:id="3" w:name="ZOTERO_BREF_ypYvHSpw8ucl"/>
      <w:r>
        <w:rPr>
          <w:color w:val="000000"/>
          <w:sz w:val="24"/>
          <w:szCs w:val="24"/>
        </w:rPr>
        <w:t>(Hunter, 2004)</w:t>
      </w:r>
      <w:bookmarkEnd w:id="3"/>
      <w:r>
        <w:rPr>
          <w:color w:val="000000"/>
          <w:sz w:val="24"/>
          <w:szCs w:val="24"/>
        </w:rPr>
        <w:t xml:space="preserve">. </w:t>
      </w:r>
    </w:p>
    <w:p w:rsidR="00EE6D80" w:rsidRDefault="00357248">
      <w:pPr>
        <w:pStyle w:val="NoSpacing"/>
        <w:spacing w:line="480" w:lineRule="auto"/>
        <w:rPr>
          <w:color w:val="000000"/>
          <w:sz w:val="24"/>
          <w:szCs w:val="24"/>
        </w:rPr>
      </w:pPr>
      <w:r>
        <w:rPr>
          <w:color w:val="000000"/>
          <w:sz w:val="24"/>
          <w:szCs w:val="24"/>
        </w:rPr>
        <w:tab/>
        <w:t>In fact, numerous confounds plague any interpretation of increased sens</w:t>
      </w:r>
      <w:r>
        <w:rPr>
          <w:color w:val="000000"/>
          <w:sz w:val="24"/>
          <w:szCs w:val="24"/>
        </w:rPr>
        <w:t xml:space="preserve">itivity on an amputation stump. The severity of </w:t>
      </w:r>
      <w:proofErr w:type="spellStart"/>
      <w:r>
        <w:rPr>
          <w:color w:val="000000"/>
          <w:sz w:val="24"/>
          <w:szCs w:val="24"/>
        </w:rPr>
        <w:t>deafferenting</w:t>
      </w:r>
      <w:proofErr w:type="spellEnd"/>
      <w:r>
        <w:rPr>
          <w:color w:val="000000"/>
          <w:sz w:val="24"/>
          <w:szCs w:val="24"/>
        </w:rPr>
        <w:t xml:space="preserve"> injury leads to varying degrees of nerve damage and often multiple revision surgeries on the stump are needed following the initial amputation. Traumatic neuromas induced by the initial injury o</w:t>
      </w:r>
      <w:r>
        <w:rPr>
          <w:color w:val="000000"/>
          <w:sz w:val="24"/>
          <w:szCs w:val="24"/>
        </w:rPr>
        <w:t>r subsequent surgeries also contribute to dramatic variability among amputee patients. This detracts from the idea of central mechanisms leading to increased sensitivity and hints towards factors related to the injured limb.</w:t>
      </w:r>
    </w:p>
    <w:p w:rsidR="00EE6D80" w:rsidRDefault="00357248">
      <w:pPr>
        <w:pStyle w:val="NoSpacing"/>
        <w:spacing w:line="480" w:lineRule="auto"/>
        <w:rPr>
          <w:color w:val="000000"/>
          <w:sz w:val="24"/>
          <w:szCs w:val="24"/>
        </w:rPr>
      </w:pPr>
      <w:r>
        <w:rPr>
          <w:color w:val="000000"/>
          <w:sz w:val="24"/>
          <w:szCs w:val="24"/>
        </w:rPr>
        <w:tab/>
        <w:t>To avoid the aforementioned co</w:t>
      </w:r>
      <w:r>
        <w:rPr>
          <w:color w:val="000000"/>
          <w:sz w:val="24"/>
          <w:szCs w:val="24"/>
        </w:rPr>
        <w:t xml:space="preserve">nfounds and better address whether increased acuity stemming from central adaptations occurs in amputees we tested the ability of amputees to </w:t>
      </w:r>
      <w:r>
        <w:rPr>
          <w:color w:val="000000"/>
          <w:sz w:val="24"/>
          <w:szCs w:val="24"/>
        </w:rPr>
        <w:lastRenderedPageBreak/>
        <w:t>localize tactile stimuli (</w:t>
      </w:r>
      <w:proofErr w:type="spellStart"/>
      <w:r>
        <w:rPr>
          <w:color w:val="000000"/>
          <w:sz w:val="24"/>
          <w:szCs w:val="24"/>
        </w:rPr>
        <w:t>locognosia</w:t>
      </w:r>
      <w:proofErr w:type="spellEnd"/>
      <w:r>
        <w:rPr>
          <w:color w:val="000000"/>
          <w:sz w:val="24"/>
          <w:szCs w:val="24"/>
        </w:rPr>
        <w:t xml:space="preserve">) on the ventral wrist area proximally adjacent to their amputation stump. </w:t>
      </w:r>
    </w:p>
    <w:p w:rsidR="00EE6D80" w:rsidRDefault="00EE6D80">
      <w:pPr>
        <w:pStyle w:val="NoSpacing"/>
        <w:spacing w:line="480" w:lineRule="auto"/>
        <w:rPr>
          <w:sz w:val="24"/>
          <w:szCs w:val="24"/>
        </w:rPr>
      </w:pPr>
    </w:p>
    <w:p w:rsidR="00EE6D80" w:rsidRDefault="00357248">
      <w:pPr>
        <w:pStyle w:val="NoSpacing"/>
        <w:spacing w:line="480" w:lineRule="auto"/>
        <w:jc w:val="center"/>
        <w:rPr>
          <w:b/>
          <w:bCs/>
          <w:sz w:val="24"/>
          <w:szCs w:val="24"/>
        </w:rPr>
      </w:pPr>
      <w:r>
        <w:rPr>
          <w:b/>
          <w:bCs/>
          <w:sz w:val="24"/>
          <w:szCs w:val="24"/>
        </w:rPr>
        <w:t>M</w:t>
      </w:r>
      <w:r>
        <w:rPr>
          <w:b/>
          <w:bCs/>
          <w:sz w:val="24"/>
          <w:szCs w:val="24"/>
        </w:rPr>
        <w:t>ethod</w:t>
      </w:r>
    </w:p>
    <w:p w:rsidR="00EE6D80" w:rsidRDefault="00357248">
      <w:pPr>
        <w:pStyle w:val="NoSpacing"/>
        <w:spacing w:line="480" w:lineRule="auto"/>
        <w:rPr>
          <w:b/>
          <w:bCs/>
          <w:sz w:val="24"/>
          <w:szCs w:val="24"/>
        </w:rPr>
      </w:pPr>
      <w:r>
        <w:rPr>
          <w:b/>
          <w:bCs/>
          <w:sz w:val="24"/>
          <w:szCs w:val="24"/>
        </w:rPr>
        <w:t>Participants</w:t>
      </w:r>
    </w:p>
    <w:p w:rsidR="00EE6D80" w:rsidRDefault="00357248">
      <w:pPr>
        <w:pStyle w:val="NoSpacing"/>
        <w:spacing w:line="480" w:lineRule="auto"/>
        <w:rPr>
          <w:sz w:val="24"/>
          <w:szCs w:val="24"/>
        </w:rPr>
      </w:pPr>
      <w:r>
        <w:rPr>
          <w:b/>
          <w:bCs/>
          <w:sz w:val="24"/>
          <w:szCs w:val="24"/>
        </w:rPr>
        <w:tab/>
      </w:r>
      <w:r>
        <w:rPr>
          <w:sz w:val="24"/>
          <w:szCs w:val="24"/>
        </w:rPr>
        <w:t xml:space="preserve">Informed consent (in accordance with local ethics committee recommendations) was given by 14 healthy adults, ages 34–64 (mean 53) and 22 upper limb amputees (11 above elbow and 11 below elbow), </w:t>
      </w:r>
      <w:proofErr w:type="gramStart"/>
      <w:r>
        <w:rPr>
          <w:sz w:val="24"/>
          <w:szCs w:val="24"/>
        </w:rPr>
        <w:t>ages</w:t>
      </w:r>
      <w:proofErr w:type="gramEnd"/>
      <w:r>
        <w:rPr>
          <w:sz w:val="24"/>
          <w:szCs w:val="24"/>
        </w:rPr>
        <w:t xml:space="preserve"> 20–67 (mean 47.9). </w:t>
      </w:r>
    </w:p>
    <w:p w:rsidR="00EE6D80" w:rsidRDefault="00357248">
      <w:pPr>
        <w:pStyle w:val="NoSpacing"/>
        <w:spacing w:line="480" w:lineRule="auto"/>
        <w:rPr>
          <w:b/>
          <w:bCs/>
          <w:sz w:val="24"/>
          <w:szCs w:val="24"/>
        </w:rPr>
      </w:pPr>
      <w:r>
        <w:rPr>
          <w:b/>
          <w:bCs/>
          <w:sz w:val="24"/>
          <w:szCs w:val="24"/>
        </w:rPr>
        <w:t>Materials and Pro</w:t>
      </w:r>
      <w:r>
        <w:rPr>
          <w:b/>
          <w:bCs/>
          <w:sz w:val="24"/>
          <w:szCs w:val="24"/>
        </w:rPr>
        <w:t>cedure</w:t>
      </w:r>
    </w:p>
    <w:p w:rsidR="00EE6D80" w:rsidRDefault="00357248">
      <w:pPr>
        <w:pStyle w:val="NoSpacing"/>
        <w:spacing w:line="480" w:lineRule="auto"/>
        <w:rPr>
          <w:sz w:val="24"/>
          <w:szCs w:val="24"/>
        </w:rPr>
      </w:pPr>
      <w:r>
        <w:rPr>
          <w:sz w:val="24"/>
          <w:szCs w:val="24"/>
        </w:rPr>
        <w:tab/>
        <w:t xml:space="preserve">Using the </w:t>
      </w:r>
      <w:proofErr w:type="spellStart"/>
      <w:r>
        <w:rPr>
          <w:sz w:val="24"/>
          <w:szCs w:val="24"/>
        </w:rPr>
        <w:t>locognosia</w:t>
      </w:r>
      <w:proofErr w:type="spellEnd"/>
      <w:r>
        <w:rPr>
          <w:sz w:val="24"/>
          <w:szCs w:val="24"/>
        </w:rPr>
        <w:t xml:space="preserve"> method introduced by </w:t>
      </w:r>
      <w:proofErr w:type="spellStart"/>
      <w:r>
        <w:rPr>
          <w:sz w:val="24"/>
          <w:szCs w:val="24"/>
        </w:rPr>
        <w:t>Noordenbos</w:t>
      </w:r>
      <w:proofErr w:type="spellEnd"/>
      <w:r>
        <w:rPr>
          <w:sz w:val="24"/>
          <w:szCs w:val="24"/>
        </w:rPr>
        <w:t xml:space="preserve"> (</w:t>
      </w:r>
      <w:bookmarkStart w:id="4" w:name="ZOTERO_BREF_3ZRK8fHrBqs2"/>
      <w:r>
        <w:rPr>
          <w:sz w:val="24"/>
          <w:szCs w:val="24"/>
        </w:rPr>
        <w:t>1972)</w:t>
      </w:r>
      <w:bookmarkEnd w:id="4"/>
      <w:r>
        <w:rPr>
          <w:sz w:val="24"/>
          <w:szCs w:val="24"/>
        </w:rPr>
        <w:t xml:space="preserve"> we measured the ability to localize touch (</w:t>
      </w:r>
      <w:proofErr w:type="spellStart"/>
      <w:r>
        <w:rPr>
          <w:sz w:val="24"/>
          <w:szCs w:val="24"/>
        </w:rPr>
        <w:t>locognosia</w:t>
      </w:r>
      <w:proofErr w:type="spellEnd"/>
      <w:r>
        <w:rPr>
          <w:sz w:val="24"/>
          <w:szCs w:val="24"/>
        </w:rPr>
        <w:t xml:space="preserve">) on the residual limb and, if applicable, intact hand of upper-limb amputees, as well as the hands of healthy adults. The </w:t>
      </w:r>
      <w:proofErr w:type="spellStart"/>
      <w:r>
        <w:rPr>
          <w:sz w:val="24"/>
          <w:szCs w:val="24"/>
        </w:rPr>
        <w:t>locognosia</w:t>
      </w:r>
      <w:proofErr w:type="spellEnd"/>
      <w:r>
        <w:rPr>
          <w:sz w:val="24"/>
          <w:szCs w:val="24"/>
        </w:rPr>
        <w:t xml:space="preserve"> t</w:t>
      </w:r>
      <w:r>
        <w:rPr>
          <w:sz w:val="24"/>
          <w:szCs w:val="24"/>
        </w:rPr>
        <w:t>ask requires participants to mark the perceived site of unseen dermal stimulation with a pen. For example, if testing the left hand of a healthy adult the participant would hold a pen in their right hand in order to respond to stimulation on the left, conv</w:t>
      </w:r>
      <w:r>
        <w:rPr>
          <w:sz w:val="24"/>
          <w:szCs w:val="24"/>
        </w:rPr>
        <w:t>ersely they would use their left hand to respond to stimulation on the right.  While participants held the response pen in their hand whenever possible, amputees had to use another effector when testing their intact hand or in cases of bilateral amputation</w:t>
      </w:r>
      <w:r>
        <w:rPr>
          <w:sz w:val="24"/>
          <w:szCs w:val="24"/>
        </w:rPr>
        <w:t xml:space="preserve">. Participants were allowed to use whatever effector they felt the most comfortable with and ultimately chose to either hold the pen with their prosthetic limb, in their teeth/mouth, under the crease of the arm, or strapped to the residual limb, see </w:t>
      </w:r>
      <w:r>
        <w:rPr>
          <w:b/>
          <w:bCs/>
          <w:sz w:val="24"/>
          <w:szCs w:val="24"/>
        </w:rPr>
        <w:t>Figure</w:t>
      </w:r>
      <w:r>
        <w:rPr>
          <w:sz w:val="24"/>
          <w:szCs w:val="24"/>
        </w:rPr>
        <w:t xml:space="preserve"> </w:t>
      </w:r>
      <w:r>
        <w:rPr>
          <w:b/>
          <w:bCs/>
          <w:sz w:val="24"/>
          <w:szCs w:val="24"/>
        </w:rPr>
        <w:t>#</w:t>
      </w:r>
      <w:r>
        <w:rPr>
          <w:sz w:val="24"/>
          <w:szCs w:val="24"/>
        </w:rPr>
        <w:t xml:space="preserve">. </w:t>
      </w:r>
      <w:r>
        <w:rPr>
          <w:b/>
          <w:bCs/>
          <w:sz w:val="24"/>
          <w:szCs w:val="24"/>
        </w:rPr>
        <w:t>Table 1</w:t>
      </w:r>
      <w:r>
        <w:rPr>
          <w:sz w:val="24"/>
          <w:szCs w:val="24"/>
        </w:rPr>
        <w:t xml:space="preserve"> offers a breakdown of effectors used by each participant. </w:t>
      </w:r>
    </w:p>
    <w:p w:rsidR="00EE6D80" w:rsidRDefault="00357248">
      <w:pPr>
        <w:pStyle w:val="NoSpacing"/>
        <w:spacing w:line="480" w:lineRule="auto"/>
        <w:ind w:firstLine="720"/>
        <w:rPr>
          <w:sz w:val="24"/>
          <w:szCs w:val="24"/>
        </w:rPr>
      </w:pPr>
      <w:proofErr w:type="gramStart"/>
      <w:r>
        <w:rPr>
          <w:b/>
          <w:sz w:val="24"/>
          <w:szCs w:val="24"/>
        </w:rPr>
        <w:t>response-accuracy</w:t>
      </w:r>
      <w:proofErr w:type="gramEnd"/>
      <w:r>
        <w:rPr>
          <w:b/>
          <w:sz w:val="24"/>
          <w:szCs w:val="24"/>
        </w:rPr>
        <w:t xml:space="preserve"> calibration.</w:t>
      </w:r>
      <w:r>
        <w:rPr>
          <w:sz w:val="24"/>
          <w:szCs w:val="24"/>
        </w:rPr>
        <w:t xml:space="preserve"> To account for possible differences in response accuracy a calibration sheet was completed prior to the </w:t>
      </w:r>
      <w:proofErr w:type="spellStart"/>
      <w:r>
        <w:rPr>
          <w:sz w:val="24"/>
          <w:szCs w:val="24"/>
        </w:rPr>
        <w:t>locognosia</w:t>
      </w:r>
      <w:proofErr w:type="spellEnd"/>
      <w:r>
        <w:rPr>
          <w:sz w:val="24"/>
          <w:szCs w:val="24"/>
        </w:rPr>
        <w:t xml:space="preserve"> task, which required participants to </w:t>
      </w:r>
      <w:r>
        <w:rPr>
          <w:sz w:val="24"/>
          <w:szCs w:val="24"/>
        </w:rPr>
        <w:lastRenderedPageBreak/>
        <w:t>ma</w:t>
      </w:r>
      <w:r>
        <w:rPr>
          <w:sz w:val="24"/>
          <w:szCs w:val="24"/>
        </w:rPr>
        <w:t xml:space="preserve">rk a visible target using each chosen effector. Participants were seated at a table and asked to don red tinted goggles, which prevent the wearer from discerning a range of similar colors. </w:t>
      </w:r>
      <w:proofErr w:type="gramStart"/>
      <w:r>
        <w:rPr>
          <w:sz w:val="24"/>
          <w:szCs w:val="24"/>
        </w:rPr>
        <w:t>A</w:t>
      </w:r>
      <w:proofErr w:type="gramEnd"/>
      <w:r>
        <w:rPr>
          <w:sz w:val="24"/>
          <w:szCs w:val="24"/>
        </w:rPr>
        <w:t xml:space="preserve"> 8.5”×11” sheet of white printer paper with 10 randomly placed bla</w:t>
      </w:r>
      <w:r>
        <w:rPr>
          <w:sz w:val="24"/>
          <w:szCs w:val="24"/>
        </w:rPr>
        <w:t>ck points (~.5mm) was placed in front of the participant. Participants were required to mark each point as accurately as possible with an orange response pen. The orange marks are indiscernible to the participant while wearing the goggles, consequently par</w:t>
      </w:r>
      <w:r>
        <w:rPr>
          <w:sz w:val="24"/>
          <w:szCs w:val="24"/>
        </w:rPr>
        <w:t xml:space="preserve">ticipants were encouraged to start at the top of the sheet and work their way down to help avoid missing any points. One calibration sheet was completed for each effector that would be used during the </w:t>
      </w:r>
      <w:proofErr w:type="spellStart"/>
      <w:r>
        <w:rPr>
          <w:sz w:val="24"/>
          <w:szCs w:val="24"/>
        </w:rPr>
        <w:t>locognosia</w:t>
      </w:r>
      <w:proofErr w:type="spellEnd"/>
      <w:r>
        <w:rPr>
          <w:sz w:val="24"/>
          <w:szCs w:val="24"/>
        </w:rPr>
        <w:t xml:space="preserve"> task. </w:t>
      </w:r>
    </w:p>
    <w:p w:rsidR="00EE6D80" w:rsidRDefault="00357248">
      <w:pPr>
        <w:pStyle w:val="NoSpacing"/>
        <w:spacing w:line="480" w:lineRule="auto"/>
        <w:ind w:firstLine="720"/>
        <w:rPr>
          <w:sz w:val="24"/>
          <w:szCs w:val="24"/>
        </w:rPr>
      </w:pPr>
      <w:proofErr w:type="spellStart"/>
      <w:proofErr w:type="gramStart"/>
      <w:r>
        <w:rPr>
          <w:b/>
          <w:sz w:val="24"/>
          <w:szCs w:val="24"/>
        </w:rPr>
        <w:t>locognosia</w:t>
      </w:r>
      <w:proofErr w:type="spellEnd"/>
      <w:proofErr w:type="gramEnd"/>
      <w:r>
        <w:rPr>
          <w:b/>
          <w:sz w:val="24"/>
          <w:szCs w:val="24"/>
        </w:rPr>
        <w:t xml:space="preserve">. </w:t>
      </w:r>
      <w:r>
        <w:rPr>
          <w:sz w:val="24"/>
          <w:szCs w:val="24"/>
        </w:rPr>
        <w:t>Video recordings were col</w:t>
      </w:r>
      <w:r>
        <w:rPr>
          <w:sz w:val="24"/>
          <w:szCs w:val="24"/>
        </w:rPr>
        <w:t xml:space="preserve">lected??? To avoid any performance feedback participants were asked to keep the goggles on until the end of the </w:t>
      </w:r>
      <w:proofErr w:type="spellStart"/>
      <w:r>
        <w:rPr>
          <w:sz w:val="24"/>
          <w:szCs w:val="24"/>
        </w:rPr>
        <w:t>locognosia</w:t>
      </w:r>
      <w:proofErr w:type="spellEnd"/>
      <w:r>
        <w:rPr>
          <w:sz w:val="24"/>
          <w:szCs w:val="24"/>
        </w:rPr>
        <w:t xml:space="preserve"> task. While the participant looked away and with an arm resting ventral side up on the table 16 pink target marks were made visually </w:t>
      </w:r>
      <w:r>
        <w:rPr>
          <w:sz w:val="24"/>
          <w:szCs w:val="24"/>
        </w:rPr>
        <w:t xml:space="preserve">following a template, see </w:t>
      </w:r>
      <w:r>
        <w:rPr>
          <w:b/>
          <w:bCs/>
          <w:sz w:val="24"/>
          <w:szCs w:val="24"/>
        </w:rPr>
        <w:t>Figure #</w:t>
      </w:r>
      <w:r>
        <w:rPr>
          <w:sz w:val="24"/>
          <w:szCs w:val="24"/>
        </w:rPr>
        <w:t xml:space="preserve">, on the palmar surface of the </w:t>
      </w:r>
      <w:proofErr w:type="gramStart"/>
      <w:r>
        <w:rPr>
          <w:sz w:val="24"/>
          <w:szCs w:val="24"/>
        </w:rPr>
        <w:t>subjects</w:t>
      </w:r>
      <w:proofErr w:type="gramEnd"/>
      <w:r>
        <w:rPr>
          <w:sz w:val="24"/>
          <w:szCs w:val="24"/>
        </w:rPr>
        <w:t xml:space="preserve"> hand. A </w:t>
      </w:r>
      <w:proofErr w:type="spellStart"/>
      <w:r>
        <w:rPr>
          <w:sz w:val="24"/>
          <w:szCs w:val="24"/>
        </w:rPr>
        <w:t>suprathreshold</w:t>
      </w:r>
      <w:proofErr w:type="spellEnd"/>
      <w:r>
        <w:rPr>
          <w:sz w:val="24"/>
          <w:szCs w:val="24"/>
        </w:rPr>
        <w:t xml:space="preserve"> tactile stimulus (6.10 Semmes-Weinstein </w:t>
      </w:r>
      <w:proofErr w:type="spellStart"/>
      <w:r>
        <w:rPr>
          <w:sz w:val="24"/>
          <w:szCs w:val="24"/>
        </w:rPr>
        <w:t>monofiliment</w:t>
      </w:r>
      <w:proofErr w:type="spellEnd"/>
      <w:r>
        <w:rPr>
          <w:sz w:val="24"/>
          <w:szCs w:val="24"/>
        </w:rPr>
        <w:t>) was delivered for approximately two seconds to a single target. The researcher waited for any visible dep</w:t>
      </w:r>
      <w:r>
        <w:rPr>
          <w:sz w:val="24"/>
          <w:szCs w:val="24"/>
        </w:rPr>
        <w:t>ressions or pigment changes to return to normal before giving a verbal “Go” cue. Upon the cue the participant reoriented their gaze to their hand, and using the orange response pen made a small mark where they had felt the stimulation. The participant once</w:t>
      </w:r>
      <w:r>
        <w:rPr>
          <w:sz w:val="24"/>
          <w:szCs w:val="24"/>
        </w:rPr>
        <w:t xml:space="preserve"> more looked away as the researcher measured the distance between the pink mark (target) and the participants orange dot (response) to the nearest 1 mm using a caliper. Stimuli were delivered to all 16 target marks in pseudo-random order; order for each ru</w:t>
      </w:r>
      <w:r>
        <w:rPr>
          <w:sz w:val="24"/>
          <w:szCs w:val="24"/>
        </w:rPr>
        <w:t>n was created by assigning random numbers (generated in Microsoft Excel) to each target and sorting from least to greatest.  Once all marks had been tested alcohol was used to remove the ink so that the experimenter could distinguish future marks. The same</w:t>
      </w:r>
      <w:r>
        <w:rPr>
          <w:sz w:val="24"/>
          <w:szCs w:val="24"/>
        </w:rPr>
        <w:t xml:space="preserve"> process was repeated at the next location. In healthy controls, locations tested </w:t>
      </w:r>
      <w:r>
        <w:rPr>
          <w:sz w:val="24"/>
          <w:szCs w:val="24"/>
        </w:rPr>
        <w:lastRenderedPageBreak/>
        <w:t>included both hands. In unilateral amputees both forearms as well as their intact hand were tested. In bilateral amputees both forearms were tested. If any limbs were amputat</w:t>
      </w:r>
      <w:r>
        <w:rPr>
          <w:sz w:val="24"/>
          <w:szCs w:val="24"/>
        </w:rPr>
        <w:t xml:space="preserve">ed above the elbow no measures were taken for that limb. Ten pink target marks were made on the forearm using a stencil, see </w:t>
      </w:r>
      <w:r>
        <w:rPr>
          <w:b/>
          <w:sz w:val="24"/>
          <w:szCs w:val="24"/>
        </w:rPr>
        <w:t>Figure #</w:t>
      </w:r>
      <w:r>
        <w:rPr>
          <w:sz w:val="24"/>
          <w:szCs w:val="24"/>
        </w:rPr>
        <w:t>. After each location was tested, we repeated the process for a total of three passes at each location. The mean of the par</w:t>
      </w:r>
      <w:r>
        <w:rPr>
          <w:sz w:val="24"/>
          <w:szCs w:val="24"/>
        </w:rPr>
        <w:t xml:space="preserve">ticipants’ response error (difference between target and response) was computed across all points, and used as the </w:t>
      </w:r>
      <w:proofErr w:type="spellStart"/>
      <w:r>
        <w:rPr>
          <w:sz w:val="24"/>
          <w:szCs w:val="24"/>
        </w:rPr>
        <w:t>locognosia</w:t>
      </w:r>
      <w:proofErr w:type="spellEnd"/>
      <w:r>
        <w:rPr>
          <w:sz w:val="24"/>
          <w:szCs w:val="24"/>
        </w:rPr>
        <w:t xml:space="preserve"> score (ability to </w:t>
      </w:r>
      <w:bookmarkStart w:id="5" w:name="_GoBack"/>
      <w:r>
        <w:rPr>
          <w:sz w:val="24"/>
          <w:szCs w:val="24"/>
        </w:rPr>
        <w:t>localize tactile stimuli) for that location.</w:t>
      </w:r>
    </w:p>
    <w:bookmarkEnd w:id="5"/>
    <w:p w:rsidR="00EE6D80" w:rsidRDefault="00357248">
      <w:pPr>
        <w:pStyle w:val="NoSpacing"/>
        <w:spacing w:line="480" w:lineRule="auto"/>
        <w:rPr>
          <w:sz w:val="24"/>
          <w:szCs w:val="24"/>
        </w:rPr>
      </w:pPr>
      <w:r>
        <w:rPr>
          <w:sz w:val="24"/>
          <w:szCs w:val="24"/>
        </w:rPr>
        <w:tab/>
        <w:t xml:space="preserve"> </w:t>
      </w:r>
    </w:p>
    <w:p w:rsidR="00EE6D80" w:rsidRDefault="00357248">
      <w:pPr>
        <w:pStyle w:val="NoSpacing"/>
        <w:spacing w:line="480" w:lineRule="auto"/>
        <w:jc w:val="center"/>
        <w:rPr>
          <w:sz w:val="24"/>
          <w:szCs w:val="24"/>
        </w:rPr>
      </w:pPr>
      <w:r>
        <w:rPr>
          <w:sz w:val="24"/>
          <w:szCs w:val="24"/>
        </w:rPr>
        <w:t>---------------------------</w:t>
      </w:r>
    </w:p>
    <w:p w:rsidR="00EE6D80" w:rsidRDefault="00357248">
      <w:pPr>
        <w:pStyle w:val="NoSpacing"/>
        <w:spacing w:line="480" w:lineRule="auto"/>
        <w:jc w:val="center"/>
        <w:rPr>
          <w:bCs/>
          <w:sz w:val="24"/>
          <w:szCs w:val="24"/>
        </w:rPr>
      </w:pPr>
      <w:r>
        <w:rPr>
          <w:bCs/>
          <w:sz w:val="24"/>
          <w:szCs w:val="24"/>
        </w:rPr>
        <w:t xml:space="preserve">Insert Figure 2 </w:t>
      </w:r>
      <w:proofErr w:type="gramStart"/>
      <w:r>
        <w:rPr>
          <w:bCs/>
          <w:sz w:val="24"/>
          <w:szCs w:val="24"/>
        </w:rPr>
        <w:t>About</w:t>
      </w:r>
      <w:proofErr w:type="gramEnd"/>
      <w:r>
        <w:rPr>
          <w:bCs/>
          <w:sz w:val="24"/>
          <w:szCs w:val="24"/>
        </w:rPr>
        <w:t xml:space="preserve"> Here</w:t>
      </w:r>
    </w:p>
    <w:p w:rsidR="00EE6D80" w:rsidRDefault="00357248">
      <w:pPr>
        <w:pStyle w:val="NoSpacing"/>
        <w:spacing w:line="480" w:lineRule="auto"/>
        <w:jc w:val="center"/>
        <w:rPr>
          <w:bCs/>
          <w:sz w:val="24"/>
          <w:szCs w:val="24"/>
        </w:rPr>
      </w:pPr>
      <w:r>
        <w:rPr>
          <w:bCs/>
          <w:sz w:val="24"/>
          <w:szCs w:val="24"/>
        </w:rPr>
        <w:t>---------------------------</w:t>
      </w:r>
    </w:p>
    <w:p w:rsidR="00EE6D80" w:rsidRDefault="00357248">
      <w:pPr>
        <w:pStyle w:val="NoSpacing"/>
        <w:spacing w:line="480" w:lineRule="auto"/>
        <w:jc w:val="center"/>
        <w:rPr>
          <w:b/>
          <w:bCs/>
          <w:sz w:val="24"/>
          <w:szCs w:val="24"/>
        </w:rPr>
      </w:pPr>
      <w:r>
        <w:rPr>
          <w:b/>
          <w:bCs/>
          <w:sz w:val="24"/>
          <w:szCs w:val="24"/>
        </w:rPr>
        <w:t>Results</w:t>
      </w:r>
    </w:p>
    <w:p w:rsidR="00EE6D80" w:rsidRDefault="00357248">
      <w:pPr>
        <w:pStyle w:val="NoSpacing"/>
        <w:spacing w:line="480" w:lineRule="auto"/>
        <w:rPr>
          <w:bCs/>
          <w:sz w:val="24"/>
          <w:szCs w:val="24"/>
        </w:rPr>
      </w:pPr>
      <w:r>
        <w:rPr>
          <w:b/>
          <w:bCs/>
          <w:sz w:val="24"/>
          <w:szCs w:val="24"/>
        </w:rPr>
        <w:tab/>
      </w:r>
      <w:proofErr w:type="gramStart"/>
      <w:r>
        <w:rPr>
          <w:b/>
          <w:sz w:val="24"/>
          <w:szCs w:val="24"/>
        </w:rPr>
        <w:t>response-accuracy</w:t>
      </w:r>
      <w:proofErr w:type="gramEnd"/>
      <w:r>
        <w:rPr>
          <w:b/>
          <w:sz w:val="24"/>
          <w:szCs w:val="24"/>
        </w:rPr>
        <w:t xml:space="preserve"> calibration.</w:t>
      </w:r>
      <w:r>
        <w:rPr>
          <w:sz w:val="24"/>
          <w:szCs w:val="24"/>
        </w:rPr>
        <w:t xml:space="preserve"> </w:t>
      </w:r>
      <w:r>
        <w:rPr>
          <w:bCs/>
          <w:sz w:val="24"/>
          <w:szCs w:val="24"/>
        </w:rPr>
        <w:t>Among controls the grouped mean error when responding with the left hand was 0.47mm and 0.33mm for the right hand. Similarly for amputees, the grouped mean error when responding with the left and right hand was 0.33mm and 0.43mm, respectively.  Among amput</w:t>
      </w:r>
      <w:r>
        <w:rPr>
          <w:bCs/>
          <w:sz w:val="24"/>
          <w:szCs w:val="24"/>
        </w:rPr>
        <w:t xml:space="preserve">ees who chose to respond with the pen affixed to their forearms the grouped mean was 0.32mm for the left forearm and 0.41mm for the right. The greatest error came from responses using either the mouth or prosthesis with a grouped mean error of 0.80mm when </w:t>
      </w:r>
      <w:r>
        <w:rPr>
          <w:bCs/>
          <w:sz w:val="24"/>
          <w:szCs w:val="24"/>
        </w:rPr>
        <w:t xml:space="preserve">holding the pen in their mouth or teeth, 1.05mm when using their left prosthesis, and 0.57mm when using their right prosthesis. The disparity between mean error for the left and right prosthesis could be due to only two subjects choosing to respond with a </w:t>
      </w:r>
      <w:r>
        <w:rPr>
          <w:bCs/>
          <w:sz w:val="24"/>
          <w:szCs w:val="24"/>
        </w:rPr>
        <w:t xml:space="preserve">left prosthesis, whereas we have four who chose to use a right prosthesis. We chose not to run significance tests on the response-accuracy data by chosen effector due to the infrequency of use </w:t>
      </w:r>
      <w:r>
        <w:rPr>
          <w:bCs/>
          <w:sz w:val="24"/>
          <w:szCs w:val="24"/>
        </w:rPr>
        <w:lastRenderedPageBreak/>
        <w:t>among certain choices. The effect of accuracy error on our resu</w:t>
      </w:r>
      <w:r>
        <w:rPr>
          <w:bCs/>
          <w:sz w:val="24"/>
          <w:szCs w:val="24"/>
        </w:rPr>
        <w:t xml:space="preserve">lts should be minimal relative to the observed </w:t>
      </w:r>
      <w:proofErr w:type="spellStart"/>
      <w:r>
        <w:rPr>
          <w:bCs/>
          <w:sz w:val="24"/>
          <w:szCs w:val="24"/>
        </w:rPr>
        <w:t>locognosia</w:t>
      </w:r>
      <w:proofErr w:type="spellEnd"/>
      <w:r>
        <w:rPr>
          <w:bCs/>
          <w:sz w:val="24"/>
          <w:szCs w:val="24"/>
        </w:rPr>
        <w:t xml:space="preserve"> scores. See </w:t>
      </w:r>
      <w:r>
        <w:rPr>
          <w:b/>
          <w:bCs/>
          <w:sz w:val="24"/>
          <w:szCs w:val="24"/>
        </w:rPr>
        <w:t>Table 1</w:t>
      </w:r>
      <w:r>
        <w:rPr>
          <w:bCs/>
          <w:sz w:val="24"/>
          <w:szCs w:val="24"/>
        </w:rPr>
        <w:t xml:space="preserve"> for participants mean error by effector chosen. </w:t>
      </w:r>
    </w:p>
    <w:p w:rsidR="00EE6D80" w:rsidRDefault="00357248">
      <w:pPr>
        <w:pStyle w:val="NoSpacing"/>
        <w:spacing w:line="480" w:lineRule="auto"/>
        <w:ind w:firstLine="720"/>
        <w:rPr>
          <w:sz w:val="24"/>
          <w:szCs w:val="24"/>
        </w:rPr>
      </w:pPr>
      <w:proofErr w:type="spellStart"/>
      <w:proofErr w:type="gramStart"/>
      <w:r>
        <w:rPr>
          <w:b/>
          <w:bCs/>
          <w:sz w:val="24"/>
          <w:szCs w:val="24"/>
        </w:rPr>
        <w:t>locognosia</w:t>
      </w:r>
      <w:proofErr w:type="spellEnd"/>
      <w:proofErr w:type="gramEnd"/>
      <w:r>
        <w:rPr>
          <w:b/>
          <w:bCs/>
          <w:sz w:val="24"/>
          <w:szCs w:val="24"/>
        </w:rPr>
        <w:t>.</w:t>
      </w:r>
      <w:r>
        <w:rPr>
          <w:bCs/>
          <w:sz w:val="24"/>
          <w:szCs w:val="24"/>
        </w:rPr>
        <w:t xml:space="preserve"> Among unilateral below elbow amputees (n=7) a within-subjects ANOVA found no significant difference between their aff</w:t>
      </w:r>
      <w:r>
        <w:rPr>
          <w:bCs/>
          <w:sz w:val="24"/>
          <w:szCs w:val="24"/>
        </w:rPr>
        <w:t xml:space="preserve">ected wrist and unaffected wrist, (p=0.46). </w:t>
      </w:r>
      <w:r>
        <w:rPr>
          <w:sz w:val="24"/>
          <w:szCs w:val="24"/>
        </w:rPr>
        <w:t xml:space="preserve"> </w:t>
      </w:r>
    </w:p>
    <w:p w:rsidR="00EE6D80" w:rsidRDefault="00357248">
      <w:pPr>
        <w:pStyle w:val="NoSpacing"/>
        <w:spacing w:line="480" w:lineRule="auto"/>
        <w:jc w:val="center"/>
        <w:rPr>
          <w:b/>
          <w:bCs/>
          <w:sz w:val="24"/>
          <w:szCs w:val="24"/>
        </w:rPr>
      </w:pPr>
      <w:r>
        <w:rPr>
          <w:b/>
          <w:bCs/>
          <w:sz w:val="24"/>
          <w:szCs w:val="24"/>
        </w:rPr>
        <w:t>Discussion</w:t>
      </w:r>
    </w:p>
    <w:p w:rsidR="00EE6D80" w:rsidRDefault="00357248">
      <w:pPr>
        <w:pStyle w:val="NoSpacing"/>
        <w:spacing w:line="480" w:lineRule="auto"/>
        <w:rPr>
          <w:sz w:val="24"/>
          <w:szCs w:val="24"/>
        </w:rPr>
      </w:pPr>
      <w:r>
        <w:rPr>
          <w:sz w:val="24"/>
          <w:szCs w:val="24"/>
        </w:rPr>
        <w:tab/>
      </w:r>
      <w:r>
        <w:rPr>
          <w:color w:val="000000"/>
          <w:sz w:val="24"/>
          <w:szCs w:val="24"/>
        </w:rPr>
        <w:t xml:space="preserve">Following loss of input, the receptive field properties of </w:t>
      </w:r>
      <w:proofErr w:type="spellStart"/>
      <w:r>
        <w:rPr>
          <w:color w:val="000000"/>
          <w:sz w:val="24"/>
          <w:szCs w:val="24"/>
        </w:rPr>
        <w:t>deafferented</w:t>
      </w:r>
      <w:proofErr w:type="spellEnd"/>
      <w:r>
        <w:rPr>
          <w:color w:val="000000"/>
          <w:sz w:val="24"/>
          <w:szCs w:val="24"/>
        </w:rPr>
        <w:t xml:space="preserve"> sensory neurons previously responsive to stimuli from the affected hand come to respond to stimuli delivered to the residual f</w:t>
      </w:r>
      <w:r>
        <w:rPr>
          <w:color w:val="000000"/>
          <w:sz w:val="24"/>
          <w:szCs w:val="24"/>
        </w:rPr>
        <w:t xml:space="preserve">orelimb or lower face. This shift of receptive fields leads to a larger number of units coding stimuli delivered to these </w:t>
      </w:r>
      <w:proofErr w:type="spellStart"/>
      <w:r>
        <w:rPr>
          <w:color w:val="000000"/>
          <w:sz w:val="24"/>
          <w:szCs w:val="24"/>
        </w:rPr>
        <w:t>somatotopically</w:t>
      </w:r>
      <w:proofErr w:type="spellEnd"/>
      <w:r>
        <w:rPr>
          <w:color w:val="000000"/>
          <w:sz w:val="24"/>
          <w:szCs w:val="24"/>
        </w:rPr>
        <w:t xml:space="preserve"> adjacent regions. The consequences of this dramatic functional reorganization, if any, remain contentious.</w:t>
      </w:r>
      <w:r>
        <w:rPr>
          <w:sz w:val="24"/>
          <w:szCs w:val="24"/>
        </w:rPr>
        <w:t xml:space="preserve"> </w:t>
      </w:r>
    </w:p>
    <w:p w:rsidR="00EE6D80" w:rsidRDefault="00357248">
      <w:pPr>
        <w:pStyle w:val="NoSpacing"/>
        <w:spacing w:line="480" w:lineRule="auto"/>
        <w:rPr>
          <w:sz w:val="24"/>
          <w:szCs w:val="24"/>
        </w:rPr>
      </w:pPr>
      <w:r>
        <w:rPr>
          <w:sz w:val="24"/>
          <w:szCs w:val="24"/>
        </w:rPr>
        <w:tab/>
      </w:r>
    </w:p>
    <w:p w:rsidR="00EE6D80" w:rsidRDefault="00EE6D80">
      <w:pPr>
        <w:pStyle w:val="NoSpacing"/>
        <w:spacing w:line="480" w:lineRule="auto"/>
      </w:pPr>
    </w:p>
    <w:p w:rsidR="00EE6D80" w:rsidRDefault="00357248">
      <w:pPr>
        <w:pStyle w:val="NoSpacing"/>
        <w:spacing w:line="480" w:lineRule="auto"/>
        <w:rPr>
          <w:color w:val="000000"/>
          <w:sz w:val="24"/>
          <w:szCs w:val="24"/>
        </w:rPr>
      </w:pPr>
      <w:r>
        <w:rPr>
          <w:color w:val="000000"/>
          <w:sz w:val="24"/>
          <w:szCs w:val="24"/>
        </w:rPr>
        <w:tab/>
        <w:t>We fou</w:t>
      </w:r>
      <w:r>
        <w:rPr>
          <w:color w:val="000000"/>
          <w:sz w:val="24"/>
          <w:szCs w:val="24"/>
        </w:rPr>
        <w:t>nd no significant difference between the wrist area of the amputated limb and the corresponding area of their intact limb.</w:t>
      </w:r>
    </w:p>
    <w:p w:rsidR="00EE6D80" w:rsidRDefault="00357248">
      <w:pPr>
        <w:pStyle w:val="NoSpacing"/>
        <w:spacing w:line="480" w:lineRule="auto"/>
        <w:rPr>
          <w:sz w:val="24"/>
          <w:szCs w:val="24"/>
        </w:rPr>
      </w:pPr>
      <w:r>
        <w:rPr>
          <w:sz w:val="24"/>
          <w:szCs w:val="24"/>
        </w:rPr>
        <w:tab/>
      </w: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EE6D80">
      <w:pPr>
        <w:pStyle w:val="NoSpacing"/>
        <w:spacing w:line="480" w:lineRule="auto"/>
        <w:jc w:val="center"/>
        <w:rPr>
          <w:sz w:val="24"/>
          <w:szCs w:val="24"/>
        </w:rPr>
      </w:pPr>
    </w:p>
    <w:p w:rsidR="00EE6D80" w:rsidRDefault="00357248">
      <w:pPr>
        <w:pStyle w:val="NoSpacing"/>
        <w:spacing w:line="480" w:lineRule="auto"/>
        <w:jc w:val="center"/>
        <w:rPr>
          <w:sz w:val="24"/>
          <w:szCs w:val="24"/>
        </w:rPr>
      </w:pPr>
      <w:r>
        <w:rPr>
          <w:sz w:val="24"/>
          <w:szCs w:val="24"/>
        </w:rPr>
        <w:t>References</w:t>
      </w:r>
    </w:p>
    <w:p w:rsidR="00EE6D80" w:rsidRDefault="00357248">
      <w:pPr>
        <w:pStyle w:val="NoSpacing"/>
        <w:spacing w:line="480" w:lineRule="auto"/>
        <w:rPr>
          <w:sz w:val="24"/>
          <w:szCs w:val="24"/>
        </w:rPr>
      </w:pPr>
      <w:proofErr w:type="spellStart"/>
      <w:r>
        <w:rPr>
          <w:sz w:val="24"/>
          <w:szCs w:val="24"/>
        </w:rPr>
        <w:t>Bogdanov</w:t>
      </w:r>
      <w:proofErr w:type="spellEnd"/>
      <w:r>
        <w:rPr>
          <w:sz w:val="24"/>
          <w:szCs w:val="24"/>
        </w:rPr>
        <w:t xml:space="preserve">, S., Smith, J., &amp; Frey, S. H. (2012). Former Hand Territory Activity Increases After Amputation </w:t>
      </w:r>
      <w:proofErr w:type="gramStart"/>
      <w:r>
        <w:rPr>
          <w:sz w:val="24"/>
          <w:szCs w:val="24"/>
        </w:rPr>
        <w:t>Duri</w:t>
      </w:r>
      <w:r>
        <w:rPr>
          <w:sz w:val="24"/>
          <w:szCs w:val="24"/>
        </w:rPr>
        <w:t>ng</w:t>
      </w:r>
      <w:proofErr w:type="gramEnd"/>
      <w:r>
        <w:rPr>
          <w:sz w:val="24"/>
          <w:szCs w:val="24"/>
        </w:rPr>
        <w:t xml:space="preserve"> Intact Hand Movements, but Is Unaffected by Illusory Visual Feedback. </w:t>
      </w:r>
      <w:proofErr w:type="spellStart"/>
      <w:r>
        <w:rPr>
          <w:i/>
          <w:sz w:val="24"/>
          <w:szCs w:val="24"/>
        </w:rPr>
        <w:t>Neurorehabilitation</w:t>
      </w:r>
      <w:proofErr w:type="spellEnd"/>
      <w:r>
        <w:rPr>
          <w:i/>
          <w:sz w:val="24"/>
          <w:szCs w:val="24"/>
        </w:rPr>
        <w:t xml:space="preserve"> and Neural Repair</w:t>
      </w:r>
      <w:r>
        <w:rPr>
          <w:sz w:val="24"/>
          <w:szCs w:val="24"/>
        </w:rPr>
        <w:t xml:space="preserve">, </w:t>
      </w:r>
      <w:r>
        <w:rPr>
          <w:i/>
          <w:sz w:val="24"/>
          <w:szCs w:val="24"/>
        </w:rPr>
        <w:t>26</w:t>
      </w:r>
      <w:r>
        <w:rPr>
          <w:sz w:val="24"/>
          <w:szCs w:val="24"/>
        </w:rPr>
        <w:t xml:space="preserve">(6), 604–615. </w:t>
      </w:r>
      <w:proofErr w:type="gramStart"/>
      <w:r>
        <w:rPr>
          <w:sz w:val="24"/>
          <w:szCs w:val="24"/>
        </w:rPr>
        <w:t>doi:</w:t>
      </w:r>
      <w:proofErr w:type="gramEnd"/>
      <w:r>
        <w:rPr>
          <w:sz w:val="24"/>
          <w:szCs w:val="24"/>
        </w:rPr>
        <w:t>10.1177/1545968311429687</w:t>
      </w:r>
    </w:p>
    <w:p w:rsidR="00EE6D80" w:rsidRDefault="00357248">
      <w:pPr>
        <w:pStyle w:val="NoSpacing"/>
        <w:spacing w:line="480" w:lineRule="auto"/>
        <w:rPr>
          <w:sz w:val="24"/>
          <w:szCs w:val="24"/>
        </w:rPr>
      </w:pPr>
      <w:r>
        <w:rPr>
          <w:sz w:val="24"/>
          <w:szCs w:val="24"/>
        </w:rPr>
        <w:t xml:space="preserve">Elbert, T., </w:t>
      </w:r>
      <w:proofErr w:type="spellStart"/>
      <w:r>
        <w:rPr>
          <w:sz w:val="24"/>
          <w:szCs w:val="24"/>
        </w:rPr>
        <w:t>Flor</w:t>
      </w:r>
      <w:proofErr w:type="spellEnd"/>
      <w:r>
        <w:rPr>
          <w:sz w:val="24"/>
          <w:szCs w:val="24"/>
        </w:rPr>
        <w:t xml:space="preserve">, H., </w:t>
      </w:r>
      <w:proofErr w:type="spellStart"/>
      <w:r>
        <w:rPr>
          <w:sz w:val="24"/>
          <w:szCs w:val="24"/>
        </w:rPr>
        <w:t>Birbaumer</w:t>
      </w:r>
      <w:proofErr w:type="spellEnd"/>
      <w:r>
        <w:rPr>
          <w:sz w:val="24"/>
          <w:szCs w:val="24"/>
        </w:rPr>
        <w:t xml:space="preserve">, N., </w:t>
      </w:r>
      <w:proofErr w:type="spellStart"/>
      <w:r>
        <w:rPr>
          <w:sz w:val="24"/>
          <w:szCs w:val="24"/>
        </w:rPr>
        <w:t>Knecht</w:t>
      </w:r>
      <w:proofErr w:type="spellEnd"/>
      <w:r>
        <w:rPr>
          <w:sz w:val="24"/>
          <w:szCs w:val="24"/>
        </w:rPr>
        <w:t xml:space="preserve">, S., Hampson, S., </w:t>
      </w:r>
      <w:proofErr w:type="spellStart"/>
      <w:r>
        <w:rPr>
          <w:sz w:val="24"/>
          <w:szCs w:val="24"/>
        </w:rPr>
        <w:t>Larbig</w:t>
      </w:r>
      <w:proofErr w:type="spellEnd"/>
      <w:r>
        <w:rPr>
          <w:sz w:val="24"/>
          <w:szCs w:val="24"/>
        </w:rPr>
        <w:t xml:space="preserve">, W., &amp; </w:t>
      </w:r>
      <w:proofErr w:type="spellStart"/>
      <w:r>
        <w:rPr>
          <w:sz w:val="24"/>
          <w:szCs w:val="24"/>
        </w:rPr>
        <w:t>Taub</w:t>
      </w:r>
      <w:proofErr w:type="spellEnd"/>
      <w:r>
        <w:rPr>
          <w:sz w:val="24"/>
          <w:szCs w:val="24"/>
        </w:rPr>
        <w:t>, E. (1994). Extens</w:t>
      </w:r>
      <w:r>
        <w:rPr>
          <w:sz w:val="24"/>
          <w:szCs w:val="24"/>
        </w:rPr>
        <w:t xml:space="preserve">ive reorganization of the somatosensory cortex in adult humans after nervous system injury. </w:t>
      </w:r>
      <w:proofErr w:type="spellStart"/>
      <w:r>
        <w:rPr>
          <w:i/>
          <w:sz w:val="24"/>
          <w:szCs w:val="24"/>
        </w:rPr>
        <w:t>Neuroreport</w:t>
      </w:r>
      <w:proofErr w:type="spellEnd"/>
      <w:r>
        <w:rPr>
          <w:sz w:val="24"/>
          <w:szCs w:val="24"/>
        </w:rPr>
        <w:t xml:space="preserve">, </w:t>
      </w:r>
      <w:r>
        <w:rPr>
          <w:i/>
          <w:sz w:val="24"/>
          <w:szCs w:val="24"/>
        </w:rPr>
        <w:t>5</w:t>
      </w:r>
      <w:r>
        <w:rPr>
          <w:sz w:val="24"/>
          <w:szCs w:val="24"/>
        </w:rPr>
        <w:t>(18), 2593–2597.</w:t>
      </w:r>
    </w:p>
    <w:p w:rsidR="00EE6D80" w:rsidRDefault="00357248">
      <w:pPr>
        <w:pStyle w:val="NoSpacing"/>
        <w:spacing w:line="480" w:lineRule="auto"/>
        <w:rPr>
          <w:sz w:val="24"/>
          <w:szCs w:val="24"/>
        </w:rPr>
      </w:pPr>
      <w:r>
        <w:rPr>
          <w:sz w:val="24"/>
          <w:szCs w:val="24"/>
        </w:rPr>
        <w:t xml:space="preserve">Endo, T., </w:t>
      </w:r>
      <w:proofErr w:type="spellStart"/>
      <w:r>
        <w:rPr>
          <w:sz w:val="24"/>
          <w:szCs w:val="24"/>
        </w:rPr>
        <w:t>Spenger</w:t>
      </w:r>
      <w:proofErr w:type="spellEnd"/>
      <w:r>
        <w:rPr>
          <w:sz w:val="24"/>
          <w:szCs w:val="24"/>
        </w:rPr>
        <w:t xml:space="preserve">, C., </w:t>
      </w:r>
      <w:proofErr w:type="spellStart"/>
      <w:r>
        <w:rPr>
          <w:sz w:val="24"/>
          <w:szCs w:val="24"/>
        </w:rPr>
        <w:t>Tominaga</w:t>
      </w:r>
      <w:proofErr w:type="spellEnd"/>
      <w:r>
        <w:rPr>
          <w:sz w:val="24"/>
          <w:szCs w:val="24"/>
        </w:rPr>
        <w:t xml:space="preserve">, T., </w:t>
      </w:r>
      <w:proofErr w:type="spellStart"/>
      <w:r>
        <w:rPr>
          <w:sz w:val="24"/>
          <w:szCs w:val="24"/>
        </w:rPr>
        <w:t>Brene</w:t>
      </w:r>
      <w:proofErr w:type="spellEnd"/>
      <w:r>
        <w:rPr>
          <w:sz w:val="24"/>
          <w:szCs w:val="24"/>
        </w:rPr>
        <w:t>, S., &amp; Olson, L. (2007). Cortical sensory map rearrangement after spinal cord injury: fMRI</w:t>
      </w:r>
      <w:r>
        <w:rPr>
          <w:sz w:val="24"/>
          <w:szCs w:val="24"/>
        </w:rPr>
        <w:t xml:space="preserve"> responses linked to </w:t>
      </w:r>
      <w:proofErr w:type="spellStart"/>
      <w:r>
        <w:rPr>
          <w:sz w:val="24"/>
          <w:szCs w:val="24"/>
        </w:rPr>
        <w:t>Nogo</w:t>
      </w:r>
      <w:proofErr w:type="spellEnd"/>
      <w:r>
        <w:rPr>
          <w:sz w:val="24"/>
          <w:szCs w:val="24"/>
        </w:rPr>
        <w:t xml:space="preserve"> </w:t>
      </w:r>
      <w:proofErr w:type="spellStart"/>
      <w:r>
        <w:rPr>
          <w:sz w:val="24"/>
          <w:szCs w:val="24"/>
        </w:rPr>
        <w:t>signalling</w:t>
      </w:r>
      <w:proofErr w:type="spellEnd"/>
      <w:r>
        <w:rPr>
          <w:sz w:val="24"/>
          <w:szCs w:val="24"/>
        </w:rPr>
        <w:t xml:space="preserve">. </w:t>
      </w:r>
      <w:r>
        <w:rPr>
          <w:i/>
          <w:sz w:val="24"/>
          <w:szCs w:val="24"/>
        </w:rPr>
        <w:t>Brain</w:t>
      </w:r>
      <w:r>
        <w:rPr>
          <w:sz w:val="24"/>
          <w:szCs w:val="24"/>
        </w:rPr>
        <w:t xml:space="preserve">, </w:t>
      </w:r>
      <w:r>
        <w:rPr>
          <w:i/>
          <w:sz w:val="24"/>
          <w:szCs w:val="24"/>
        </w:rPr>
        <w:t>130</w:t>
      </w:r>
      <w:r>
        <w:rPr>
          <w:sz w:val="24"/>
          <w:szCs w:val="24"/>
        </w:rPr>
        <w:t>(11), 2951–2961. doi:10.1093/brain/awm237</w:t>
      </w:r>
    </w:p>
    <w:p w:rsidR="00EE6D80" w:rsidRDefault="00357248">
      <w:pPr>
        <w:pStyle w:val="NoSpacing"/>
        <w:spacing w:line="480" w:lineRule="auto"/>
        <w:rPr>
          <w:sz w:val="24"/>
          <w:szCs w:val="24"/>
        </w:rPr>
      </w:pPr>
      <w:r>
        <w:rPr>
          <w:sz w:val="24"/>
          <w:szCs w:val="24"/>
        </w:rPr>
        <w:t xml:space="preserve">Haber, W. B. (1955). Effects of loss of limb on sensory functions. </w:t>
      </w:r>
      <w:r>
        <w:rPr>
          <w:i/>
          <w:sz w:val="24"/>
          <w:szCs w:val="24"/>
        </w:rPr>
        <w:t>J. Psychol.</w:t>
      </w:r>
      <w:r>
        <w:rPr>
          <w:sz w:val="24"/>
          <w:szCs w:val="24"/>
        </w:rPr>
        <w:t>, (40), 115–123.</w:t>
      </w:r>
    </w:p>
    <w:p w:rsidR="00EE6D80" w:rsidRDefault="00357248">
      <w:pPr>
        <w:pStyle w:val="NoSpacing"/>
        <w:spacing w:line="480" w:lineRule="auto"/>
        <w:rPr>
          <w:sz w:val="24"/>
          <w:szCs w:val="24"/>
        </w:rPr>
      </w:pPr>
      <w:r>
        <w:rPr>
          <w:sz w:val="24"/>
          <w:szCs w:val="24"/>
        </w:rPr>
        <w:t xml:space="preserve">Hunter, J. P. (2004). Dissociation of phantom limb phenomena from stump tactile spatial acuity and sensory thresholds. </w:t>
      </w:r>
      <w:r>
        <w:rPr>
          <w:i/>
          <w:sz w:val="24"/>
          <w:szCs w:val="24"/>
        </w:rPr>
        <w:t>Brain</w:t>
      </w:r>
      <w:r>
        <w:rPr>
          <w:sz w:val="24"/>
          <w:szCs w:val="24"/>
        </w:rPr>
        <w:t xml:space="preserve">, </w:t>
      </w:r>
      <w:r>
        <w:rPr>
          <w:i/>
          <w:sz w:val="24"/>
          <w:szCs w:val="24"/>
        </w:rPr>
        <w:t>128</w:t>
      </w:r>
      <w:r>
        <w:rPr>
          <w:sz w:val="24"/>
          <w:szCs w:val="24"/>
        </w:rPr>
        <w:t>(2), 308–320. doi:10.1093/brain/awh350</w:t>
      </w:r>
    </w:p>
    <w:p w:rsidR="00EE6D80" w:rsidRDefault="00357248">
      <w:pPr>
        <w:pStyle w:val="NoSpacing"/>
        <w:spacing w:line="480" w:lineRule="auto"/>
        <w:rPr>
          <w:sz w:val="24"/>
          <w:szCs w:val="24"/>
        </w:rPr>
      </w:pPr>
      <w:r>
        <w:rPr>
          <w:sz w:val="24"/>
          <w:szCs w:val="24"/>
        </w:rPr>
        <w:t xml:space="preserve">Jenkins, W. M., </w:t>
      </w:r>
      <w:proofErr w:type="spellStart"/>
      <w:r>
        <w:rPr>
          <w:sz w:val="24"/>
          <w:szCs w:val="24"/>
        </w:rPr>
        <w:t>Merzenich</w:t>
      </w:r>
      <w:proofErr w:type="spellEnd"/>
      <w:r>
        <w:rPr>
          <w:sz w:val="24"/>
          <w:szCs w:val="24"/>
        </w:rPr>
        <w:t xml:space="preserve">, M. M., Ochs, M. T., Allard, T., &amp; </w:t>
      </w:r>
      <w:proofErr w:type="spellStart"/>
      <w:r>
        <w:rPr>
          <w:sz w:val="24"/>
          <w:szCs w:val="24"/>
        </w:rPr>
        <w:t>Guic</w:t>
      </w:r>
      <w:proofErr w:type="spellEnd"/>
      <w:r>
        <w:rPr>
          <w:sz w:val="24"/>
          <w:szCs w:val="24"/>
        </w:rPr>
        <w:t>-Robles, E. (1990). Fun</w:t>
      </w:r>
      <w:r>
        <w:rPr>
          <w:sz w:val="24"/>
          <w:szCs w:val="24"/>
        </w:rPr>
        <w:t xml:space="preserve">ctional reorganization of primary somatosensory cortex in adult owl monkeys after behaviorally controlled tactile stimulation. </w:t>
      </w:r>
      <w:r>
        <w:rPr>
          <w:i/>
          <w:sz w:val="24"/>
          <w:szCs w:val="24"/>
        </w:rPr>
        <w:t xml:space="preserve">J </w:t>
      </w:r>
      <w:proofErr w:type="spellStart"/>
      <w:r>
        <w:rPr>
          <w:i/>
          <w:sz w:val="24"/>
          <w:szCs w:val="24"/>
        </w:rPr>
        <w:t>Neurophysiol</w:t>
      </w:r>
      <w:proofErr w:type="spellEnd"/>
      <w:r>
        <w:rPr>
          <w:sz w:val="24"/>
          <w:szCs w:val="24"/>
        </w:rPr>
        <w:t xml:space="preserve">, </w:t>
      </w:r>
      <w:r>
        <w:rPr>
          <w:i/>
          <w:sz w:val="24"/>
          <w:szCs w:val="24"/>
        </w:rPr>
        <w:t>63</w:t>
      </w:r>
      <w:r>
        <w:rPr>
          <w:sz w:val="24"/>
          <w:szCs w:val="24"/>
        </w:rPr>
        <w:t>(1), 82–104.</w:t>
      </w:r>
    </w:p>
    <w:p w:rsidR="00EE6D80" w:rsidRDefault="00357248">
      <w:pPr>
        <w:pStyle w:val="NoSpacing"/>
        <w:spacing w:line="480" w:lineRule="auto"/>
        <w:rPr>
          <w:sz w:val="24"/>
          <w:szCs w:val="24"/>
        </w:rPr>
      </w:pPr>
      <w:proofErr w:type="spellStart"/>
      <w:r>
        <w:rPr>
          <w:sz w:val="24"/>
          <w:szCs w:val="24"/>
        </w:rPr>
        <w:t>Kaas</w:t>
      </w:r>
      <w:proofErr w:type="spellEnd"/>
      <w:r>
        <w:rPr>
          <w:sz w:val="24"/>
          <w:szCs w:val="24"/>
        </w:rPr>
        <w:t xml:space="preserve">, J. H. (1991). Plasticity of sensory and motor maps in adult mammals. </w:t>
      </w:r>
      <w:proofErr w:type="spellStart"/>
      <w:r>
        <w:rPr>
          <w:i/>
          <w:sz w:val="24"/>
          <w:szCs w:val="24"/>
        </w:rPr>
        <w:t>Annu</w:t>
      </w:r>
      <w:proofErr w:type="spellEnd"/>
      <w:r>
        <w:rPr>
          <w:i/>
          <w:sz w:val="24"/>
          <w:szCs w:val="24"/>
        </w:rPr>
        <w:t xml:space="preserve">. Rev. </w:t>
      </w:r>
      <w:proofErr w:type="spellStart"/>
      <w:r>
        <w:rPr>
          <w:i/>
          <w:sz w:val="24"/>
          <w:szCs w:val="24"/>
        </w:rPr>
        <w:t>Neurosci</w:t>
      </w:r>
      <w:proofErr w:type="spellEnd"/>
      <w:r>
        <w:rPr>
          <w:i/>
          <w:sz w:val="24"/>
          <w:szCs w:val="24"/>
        </w:rPr>
        <w:t>.</w:t>
      </w:r>
      <w:r>
        <w:rPr>
          <w:sz w:val="24"/>
          <w:szCs w:val="24"/>
        </w:rPr>
        <w:t xml:space="preserve">, </w:t>
      </w:r>
      <w:r>
        <w:rPr>
          <w:i/>
          <w:sz w:val="24"/>
          <w:szCs w:val="24"/>
        </w:rPr>
        <w:t>1</w:t>
      </w:r>
      <w:r>
        <w:rPr>
          <w:i/>
          <w:sz w:val="24"/>
          <w:szCs w:val="24"/>
        </w:rPr>
        <w:t>4</w:t>
      </w:r>
      <w:r>
        <w:rPr>
          <w:sz w:val="24"/>
          <w:szCs w:val="24"/>
        </w:rPr>
        <w:t>, 137–167.</w:t>
      </w:r>
    </w:p>
    <w:p w:rsidR="00EE6D80" w:rsidRDefault="00357248">
      <w:pPr>
        <w:pStyle w:val="NoSpacing"/>
        <w:spacing w:line="480" w:lineRule="auto"/>
        <w:rPr>
          <w:sz w:val="24"/>
          <w:szCs w:val="24"/>
        </w:rPr>
      </w:pPr>
      <w:r>
        <w:rPr>
          <w:sz w:val="24"/>
          <w:szCs w:val="24"/>
        </w:rPr>
        <w:t xml:space="preserve">Karl, A., </w:t>
      </w:r>
      <w:proofErr w:type="spellStart"/>
      <w:r>
        <w:rPr>
          <w:sz w:val="24"/>
          <w:szCs w:val="24"/>
        </w:rPr>
        <w:t>Birbaumer</w:t>
      </w:r>
      <w:proofErr w:type="spellEnd"/>
      <w:r>
        <w:rPr>
          <w:sz w:val="24"/>
          <w:szCs w:val="24"/>
        </w:rPr>
        <w:t xml:space="preserve">, N., </w:t>
      </w:r>
      <w:proofErr w:type="spellStart"/>
      <w:r>
        <w:rPr>
          <w:sz w:val="24"/>
          <w:szCs w:val="24"/>
        </w:rPr>
        <w:t>Lutzenberger</w:t>
      </w:r>
      <w:proofErr w:type="spellEnd"/>
      <w:r>
        <w:rPr>
          <w:sz w:val="24"/>
          <w:szCs w:val="24"/>
        </w:rPr>
        <w:t xml:space="preserve">, W., Cohen, L. G., &amp; </w:t>
      </w:r>
      <w:proofErr w:type="spellStart"/>
      <w:r>
        <w:rPr>
          <w:sz w:val="24"/>
          <w:szCs w:val="24"/>
        </w:rPr>
        <w:t>Flor</w:t>
      </w:r>
      <w:proofErr w:type="spellEnd"/>
      <w:r>
        <w:rPr>
          <w:sz w:val="24"/>
          <w:szCs w:val="24"/>
        </w:rPr>
        <w:t xml:space="preserve">, H. (2001). Reorganization of motor and somatosensory cortex in upper extremity amputees with phantom limb pain. </w:t>
      </w:r>
      <w:r>
        <w:rPr>
          <w:i/>
          <w:sz w:val="24"/>
          <w:szCs w:val="24"/>
        </w:rPr>
        <w:t>The Journal of Neuroscience</w:t>
      </w:r>
      <w:r>
        <w:rPr>
          <w:sz w:val="24"/>
          <w:szCs w:val="24"/>
        </w:rPr>
        <w:t xml:space="preserve">, </w:t>
      </w:r>
      <w:r>
        <w:rPr>
          <w:i/>
          <w:sz w:val="24"/>
          <w:szCs w:val="24"/>
        </w:rPr>
        <w:t>21</w:t>
      </w:r>
      <w:r>
        <w:rPr>
          <w:sz w:val="24"/>
          <w:szCs w:val="24"/>
        </w:rPr>
        <w:t>(10), 3609–3618.</w:t>
      </w:r>
    </w:p>
    <w:p w:rsidR="00EE6D80" w:rsidRDefault="00357248">
      <w:pPr>
        <w:pStyle w:val="NoSpacing"/>
        <w:spacing w:line="480" w:lineRule="auto"/>
        <w:rPr>
          <w:sz w:val="24"/>
          <w:szCs w:val="24"/>
        </w:rPr>
      </w:pPr>
      <w:proofErr w:type="spellStart"/>
      <w:r>
        <w:rPr>
          <w:sz w:val="24"/>
          <w:szCs w:val="24"/>
        </w:rPr>
        <w:lastRenderedPageBreak/>
        <w:t>Noordenbos</w:t>
      </w:r>
      <w:proofErr w:type="spellEnd"/>
      <w:r>
        <w:rPr>
          <w:sz w:val="24"/>
          <w:szCs w:val="24"/>
        </w:rPr>
        <w:t xml:space="preserve">, W. (1972). The sensory stimulus and the verbalization of the response-the pain problem. In </w:t>
      </w:r>
      <w:r>
        <w:rPr>
          <w:i/>
          <w:sz w:val="24"/>
          <w:szCs w:val="24"/>
        </w:rPr>
        <w:t xml:space="preserve">G.G. </w:t>
      </w:r>
      <w:proofErr w:type="spellStart"/>
      <w:r>
        <w:rPr>
          <w:i/>
          <w:sz w:val="24"/>
          <w:szCs w:val="24"/>
        </w:rPr>
        <w:t>Somjen</w:t>
      </w:r>
      <w:proofErr w:type="spellEnd"/>
      <w:r>
        <w:rPr>
          <w:i/>
          <w:sz w:val="24"/>
          <w:szCs w:val="24"/>
        </w:rPr>
        <w:t xml:space="preserve"> (Ed.), Neurophysiology Studies in Man</w:t>
      </w:r>
      <w:r>
        <w:rPr>
          <w:sz w:val="24"/>
          <w:szCs w:val="24"/>
        </w:rPr>
        <w:t xml:space="preserve">. Amsterdam: </w:t>
      </w:r>
      <w:proofErr w:type="spellStart"/>
      <w:r>
        <w:rPr>
          <w:sz w:val="24"/>
          <w:szCs w:val="24"/>
        </w:rPr>
        <w:t>Excerpta</w:t>
      </w:r>
      <w:proofErr w:type="spellEnd"/>
      <w:r>
        <w:rPr>
          <w:sz w:val="24"/>
          <w:szCs w:val="24"/>
        </w:rPr>
        <w:t xml:space="preserve"> </w:t>
      </w:r>
      <w:proofErr w:type="spellStart"/>
      <w:r>
        <w:rPr>
          <w:sz w:val="24"/>
          <w:szCs w:val="24"/>
        </w:rPr>
        <w:t>Medica</w:t>
      </w:r>
      <w:proofErr w:type="spellEnd"/>
      <w:r>
        <w:rPr>
          <w:sz w:val="24"/>
          <w:szCs w:val="24"/>
        </w:rPr>
        <w:t>.</w:t>
      </w:r>
    </w:p>
    <w:p w:rsidR="00EE6D80" w:rsidRDefault="00357248">
      <w:pPr>
        <w:pStyle w:val="NoSpacing"/>
        <w:spacing w:line="480" w:lineRule="auto"/>
        <w:rPr>
          <w:sz w:val="24"/>
          <w:szCs w:val="24"/>
        </w:rPr>
      </w:pPr>
      <w:r>
        <w:rPr>
          <w:sz w:val="24"/>
          <w:szCs w:val="24"/>
        </w:rPr>
        <w:t xml:space="preserve">Wall, J. T., </w:t>
      </w:r>
      <w:proofErr w:type="spellStart"/>
      <w:r>
        <w:rPr>
          <w:sz w:val="24"/>
          <w:szCs w:val="24"/>
        </w:rPr>
        <w:t>Kaas</w:t>
      </w:r>
      <w:proofErr w:type="spellEnd"/>
      <w:r>
        <w:rPr>
          <w:sz w:val="24"/>
          <w:szCs w:val="24"/>
        </w:rPr>
        <w:t xml:space="preserve">, J. H., Sur, M., Nelson, R. J., </w:t>
      </w:r>
      <w:proofErr w:type="spellStart"/>
      <w:r>
        <w:rPr>
          <w:sz w:val="24"/>
          <w:szCs w:val="24"/>
        </w:rPr>
        <w:t>Felleman</w:t>
      </w:r>
      <w:proofErr w:type="spellEnd"/>
      <w:r>
        <w:rPr>
          <w:sz w:val="24"/>
          <w:szCs w:val="24"/>
        </w:rPr>
        <w:t xml:space="preserve">, D. J., &amp; </w:t>
      </w:r>
      <w:proofErr w:type="spellStart"/>
      <w:r>
        <w:rPr>
          <w:sz w:val="24"/>
          <w:szCs w:val="24"/>
        </w:rPr>
        <w:t>Merze</w:t>
      </w:r>
      <w:r>
        <w:rPr>
          <w:sz w:val="24"/>
          <w:szCs w:val="24"/>
        </w:rPr>
        <w:t>nich</w:t>
      </w:r>
      <w:proofErr w:type="spellEnd"/>
      <w:r>
        <w:rPr>
          <w:sz w:val="24"/>
          <w:szCs w:val="24"/>
        </w:rPr>
        <w:t xml:space="preserve">, M. M. (1986). Functional reorganization in somatosensory cortical areas 3b and 1 of adult monkeys after median nerve repair: possible relationships to sensory recovery in humans. </w:t>
      </w:r>
      <w:r>
        <w:rPr>
          <w:i/>
          <w:sz w:val="24"/>
          <w:szCs w:val="24"/>
        </w:rPr>
        <w:t>The Journal of Neuroscience</w:t>
      </w:r>
      <w:r>
        <w:rPr>
          <w:sz w:val="24"/>
          <w:szCs w:val="24"/>
        </w:rPr>
        <w:t xml:space="preserve">, </w:t>
      </w:r>
      <w:r>
        <w:rPr>
          <w:i/>
          <w:sz w:val="24"/>
          <w:szCs w:val="24"/>
        </w:rPr>
        <w:t>6</w:t>
      </w:r>
      <w:r>
        <w:rPr>
          <w:sz w:val="24"/>
          <w:szCs w:val="24"/>
        </w:rPr>
        <w:t>(1), 218–233.</w:t>
      </w: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bookmarkStart w:id="6" w:name="ZOTERO_BREF_CTbIe54QCOxF"/>
      <w:bookmarkEnd w:id="6"/>
    </w:p>
    <w:p w:rsidR="00EE6D80" w:rsidRDefault="00357248">
      <w:pPr>
        <w:pStyle w:val="NoSpacing"/>
        <w:spacing w:line="480" w:lineRule="auto"/>
        <w:rPr>
          <w:sz w:val="24"/>
          <w:szCs w:val="24"/>
        </w:rPr>
      </w:pPr>
      <w:r>
        <w:rPr>
          <w:i/>
          <w:iCs/>
          <w:sz w:val="24"/>
          <w:szCs w:val="24"/>
        </w:rPr>
        <w:t>Figure 1</w:t>
      </w:r>
      <w:r>
        <w:rPr>
          <w:iCs/>
          <w:sz w:val="24"/>
          <w:szCs w:val="24"/>
        </w:rPr>
        <w:t xml:space="preserve">. </w:t>
      </w:r>
      <w:proofErr w:type="gramStart"/>
      <w:r>
        <w:rPr>
          <w:sz w:val="24"/>
          <w:szCs w:val="24"/>
        </w:rPr>
        <w:t>left</w:t>
      </w:r>
      <w:proofErr w:type="gramEnd"/>
      <w:r>
        <w:rPr>
          <w:sz w:val="24"/>
          <w:szCs w:val="24"/>
        </w:rPr>
        <w:t xml:space="preserve"> hand template for marking and testing the 16 target points.</w:t>
      </w: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357248">
      <w:pPr>
        <w:pStyle w:val="NoSpacing"/>
        <w:spacing w:line="480" w:lineRule="auto"/>
        <w:rPr>
          <w:sz w:val="24"/>
          <w:szCs w:val="24"/>
        </w:rPr>
      </w:pPr>
      <w:r>
        <w:rPr>
          <w:i/>
          <w:iCs/>
          <w:sz w:val="24"/>
          <w:szCs w:val="24"/>
        </w:rPr>
        <w:t>Figure 2.</w:t>
      </w:r>
      <w:r>
        <w:rPr>
          <w:sz w:val="24"/>
          <w:szCs w:val="24"/>
        </w:rPr>
        <w:t xml:space="preserve"> The right forearm template for marking and testing the 10 target points.</w:t>
      </w: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EE6D80">
      <w:pPr>
        <w:pStyle w:val="NoSpacing"/>
        <w:spacing w:line="480" w:lineRule="auto"/>
        <w:rPr>
          <w:sz w:val="24"/>
          <w:szCs w:val="24"/>
        </w:rPr>
      </w:pPr>
    </w:p>
    <w:p w:rsidR="00EE6D80" w:rsidRDefault="00357248">
      <w:pPr>
        <w:pStyle w:val="NoSpacing"/>
        <w:spacing w:line="480" w:lineRule="auto"/>
        <w:rPr>
          <w:color w:val="333333"/>
          <w:sz w:val="24"/>
          <w:szCs w:val="24"/>
        </w:rPr>
      </w:pPr>
      <w:r>
        <w:rPr>
          <w:i/>
          <w:iCs/>
          <w:sz w:val="24"/>
          <w:szCs w:val="24"/>
        </w:rPr>
        <w:t>Figure 3.</w:t>
      </w:r>
      <w:r>
        <w:rPr>
          <w:sz w:val="24"/>
          <w:szCs w:val="24"/>
        </w:rPr>
        <w:t xml:space="preserve"> </w:t>
      </w:r>
      <w:bookmarkStart w:id="7" w:name="__DdeLink__939_1110414346"/>
      <w:r>
        <w:rPr>
          <w:sz w:val="24"/>
          <w:szCs w:val="24"/>
        </w:rPr>
        <w:t>The box-plots depict the error in mm of each above elbow amputee by effector. The mean error of each control participant are grouped under controls. The left and right graph represent scores before and after correction for calibration scores, respectively.</w:t>
      </w:r>
      <w:r>
        <w:rPr>
          <w:sz w:val="24"/>
          <w:szCs w:val="24"/>
        </w:rPr>
        <w:t xml:space="preserve"> </w:t>
      </w:r>
      <w:r>
        <w:rPr>
          <w:color w:val="333333"/>
          <w:sz w:val="24"/>
          <w:szCs w:val="24"/>
        </w:rPr>
        <w:t>The upper whisker extends from the hinge (75</w:t>
      </w:r>
      <w:r>
        <w:rPr>
          <w:color w:val="333333"/>
          <w:sz w:val="24"/>
          <w:szCs w:val="24"/>
          <w:vertAlign w:val="superscript"/>
        </w:rPr>
        <w:t>th</w:t>
      </w:r>
      <w:r>
        <w:rPr>
          <w:color w:val="333333"/>
          <w:sz w:val="24"/>
          <w:szCs w:val="24"/>
        </w:rPr>
        <w:t xml:space="preserve"> percentile) to the highest value that is within 1.5 * IQR of the hinge, where IQR is the inter-quartile range, or distance between the first and third quartiles. The lower whisker extends from the hinge (25</w:t>
      </w:r>
      <w:r>
        <w:rPr>
          <w:color w:val="333333"/>
          <w:sz w:val="24"/>
          <w:szCs w:val="24"/>
          <w:vertAlign w:val="superscript"/>
        </w:rPr>
        <w:t>th</w:t>
      </w:r>
      <w:r>
        <w:rPr>
          <w:color w:val="333333"/>
          <w:sz w:val="24"/>
          <w:szCs w:val="24"/>
        </w:rPr>
        <w:t xml:space="preserve"> percentile) to the lowest value within 1.5 * IQR of the hinge. Data beyond the end of the whiskers are outliers and plotted as points (as specified by </w:t>
      </w:r>
      <w:proofErr w:type="spellStart"/>
      <w:r>
        <w:rPr>
          <w:color w:val="333333"/>
          <w:sz w:val="24"/>
          <w:szCs w:val="24"/>
        </w:rPr>
        <w:t>Tukey</w:t>
      </w:r>
      <w:proofErr w:type="spellEnd"/>
      <w:r>
        <w:rPr>
          <w:color w:val="333333"/>
          <w:sz w:val="24"/>
          <w:szCs w:val="24"/>
        </w:rPr>
        <w:t>).</w:t>
      </w:r>
    </w:p>
    <w:bookmarkEnd w:id="7"/>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EE6D80">
      <w:pPr>
        <w:pStyle w:val="NoSpacing"/>
        <w:spacing w:line="480" w:lineRule="auto"/>
        <w:rPr>
          <w:i/>
          <w:iCs/>
          <w:sz w:val="24"/>
          <w:szCs w:val="24"/>
        </w:rPr>
      </w:pPr>
    </w:p>
    <w:p w:rsidR="00EE6D80" w:rsidRDefault="00357248">
      <w:pPr>
        <w:pStyle w:val="NoSpacing"/>
        <w:spacing w:line="480" w:lineRule="auto"/>
        <w:rPr>
          <w:iCs/>
          <w:color w:val="333333"/>
          <w:sz w:val="24"/>
          <w:szCs w:val="24"/>
        </w:rPr>
      </w:pPr>
      <w:r>
        <w:rPr>
          <w:i/>
          <w:iCs/>
          <w:sz w:val="24"/>
          <w:szCs w:val="24"/>
        </w:rPr>
        <w:t>Figure 4</w:t>
      </w:r>
      <w:r>
        <w:rPr>
          <w:sz w:val="24"/>
          <w:szCs w:val="24"/>
        </w:rPr>
        <w:t>.</w:t>
      </w:r>
      <w:r>
        <w:rPr>
          <w:i/>
          <w:iCs/>
          <w:sz w:val="24"/>
          <w:szCs w:val="24"/>
        </w:rPr>
        <w:t xml:space="preserve"> </w:t>
      </w:r>
      <w:r>
        <w:rPr>
          <w:sz w:val="24"/>
          <w:szCs w:val="24"/>
        </w:rPr>
        <w:t>The box-plots depict the error in mm of each below elbow amputee by effector. The mean error of each control participant are grouped under controls. The left and right graph represent scores before and after correction for calibration scores, respectively.</w:t>
      </w:r>
      <w:r>
        <w:rPr>
          <w:sz w:val="24"/>
          <w:szCs w:val="24"/>
        </w:rPr>
        <w:t xml:space="preserve"> </w:t>
      </w:r>
      <w:r>
        <w:rPr>
          <w:iCs/>
          <w:color w:val="333333"/>
          <w:sz w:val="24"/>
          <w:szCs w:val="24"/>
        </w:rPr>
        <w:t>The upper whisker extends from the hinge (75</w:t>
      </w:r>
      <w:r>
        <w:rPr>
          <w:iCs/>
          <w:color w:val="333333"/>
          <w:sz w:val="24"/>
          <w:szCs w:val="24"/>
          <w:vertAlign w:val="superscript"/>
        </w:rPr>
        <w:t>th</w:t>
      </w:r>
      <w:r>
        <w:rPr>
          <w:iCs/>
          <w:color w:val="333333"/>
          <w:sz w:val="24"/>
          <w:szCs w:val="24"/>
        </w:rPr>
        <w:t xml:space="preserve"> percentile) to the highest value that is within 1.5 * IQR of the hinge, where IQR is the inter-quartile range, or distance between the first and third quartiles. The lower whisker extends from the hinge (25</w:t>
      </w:r>
      <w:r>
        <w:rPr>
          <w:iCs/>
          <w:color w:val="333333"/>
          <w:sz w:val="24"/>
          <w:szCs w:val="24"/>
          <w:vertAlign w:val="superscript"/>
        </w:rPr>
        <w:t>th</w:t>
      </w:r>
      <w:r>
        <w:rPr>
          <w:iCs/>
          <w:color w:val="333333"/>
          <w:sz w:val="24"/>
          <w:szCs w:val="24"/>
        </w:rPr>
        <w:t xml:space="preserve"> percentile) to the lowest value within 1.5 * IQR of the hinge. Data beyond the end of the whiskers are outliers and plotted as points (as specified by </w:t>
      </w:r>
      <w:proofErr w:type="spellStart"/>
      <w:r>
        <w:rPr>
          <w:iCs/>
          <w:color w:val="333333"/>
          <w:sz w:val="24"/>
          <w:szCs w:val="24"/>
        </w:rPr>
        <w:t>Tukey</w:t>
      </w:r>
      <w:proofErr w:type="spellEnd"/>
      <w:r>
        <w:rPr>
          <w:iCs/>
          <w:color w:val="333333"/>
          <w:sz w:val="24"/>
          <w:szCs w:val="24"/>
        </w:rPr>
        <w:t>).</w:t>
      </w: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p w:rsidR="00EE6D80" w:rsidRDefault="00EE6D80">
      <w:pPr>
        <w:pStyle w:val="NoSpacing"/>
        <w:spacing w:line="480" w:lineRule="auto"/>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894"/>
        <w:gridCol w:w="539"/>
        <w:gridCol w:w="895"/>
        <w:gridCol w:w="1358"/>
        <w:gridCol w:w="2412"/>
        <w:gridCol w:w="1147"/>
        <w:gridCol w:w="535"/>
        <w:gridCol w:w="488"/>
        <w:gridCol w:w="1033"/>
      </w:tblGrid>
      <w:tr w:rsidR="00EE6D80">
        <w:tc>
          <w:tcPr>
            <w:tcW w:w="896" w:type="dxa"/>
            <w:tcBorders>
              <w:top w:val="single" w:sz="2" w:space="0" w:color="000001"/>
              <w:left w:val="single" w:sz="2" w:space="0" w:color="000001"/>
              <w:bottom w:val="single" w:sz="2" w:space="0" w:color="000001"/>
              <w:right w:val="nil"/>
            </w:tcBorders>
            <w:shd w:val="clear" w:color="auto" w:fill="FFFFFF"/>
            <w:tcMar>
              <w:left w:w="51" w:type="dxa"/>
            </w:tcMar>
          </w:tcPr>
          <w:p w:rsidR="00EE6D80" w:rsidRDefault="00357248">
            <w:pPr>
              <w:pStyle w:val="TableContents"/>
              <w:rPr>
                <w:b/>
                <w:bCs/>
              </w:rPr>
            </w:pPr>
            <w:r>
              <w:rPr>
                <w:b/>
                <w:bCs/>
              </w:rPr>
              <w:t>Subject</w:t>
            </w:r>
          </w:p>
        </w:tc>
        <w:tc>
          <w:tcPr>
            <w:tcW w:w="540" w:type="dxa"/>
            <w:tcBorders>
              <w:top w:val="single" w:sz="2" w:space="0" w:color="000001"/>
              <w:left w:val="single" w:sz="2" w:space="0" w:color="000001"/>
              <w:bottom w:val="single" w:sz="2" w:space="0" w:color="000001"/>
              <w:right w:val="nil"/>
            </w:tcBorders>
            <w:shd w:val="clear" w:color="auto" w:fill="FFFFFF"/>
            <w:tcMar>
              <w:left w:w="51" w:type="dxa"/>
            </w:tcMar>
          </w:tcPr>
          <w:p w:rsidR="00EE6D80" w:rsidRDefault="00357248">
            <w:pPr>
              <w:pStyle w:val="TableContents"/>
              <w:rPr>
                <w:b/>
                <w:bCs/>
              </w:rPr>
            </w:pPr>
            <w:r>
              <w:rPr>
                <w:b/>
                <w:bCs/>
              </w:rPr>
              <w:t>Age</w:t>
            </w:r>
          </w:p>
        </w:tc>
        <w:tc>
          <w:tcPr>
            <w:tcW w:w="897" w:type="dxa"/>
            <w:tcBorders>
              <w:top w:val="single" w:sz="2" w:space="0" w:color="000001"/>
              <w:left w:val="single" w:sz="2" w:space="0" w:color="000001"/>
              <w:bottom w:val="single" w:sz="2" w:space="0" w:color="000001"/>
              <w:right w:val="nil"/>
            </w:tcBorders>
            <w:shd w:val="clear" w:color="auto" w:fill="FFFFFF"/>
            <w:tcMar>
              <w:left w:w="51" w:type="dxa"/>
            </w:tcMar>
          </w:tcPr>
          <w:p w:rsidR="00EE6D80" w:rsidRDefault="00357248">
            <w:pPr>
              <w:pStyle w:val="TableContents"/>
              <w:rPr>
                <w:b/>
                <w:bCs/>
              </w:rPr>
            </w:pPr>
            <w:r>
              <w:rPr>
                <w:b/>
                <w:bCs/>
              </w:rPr>
              <w:t>Gender</w:t>
            </w:r>
          </w:p>
        </w:tc>
        <w:tc>
          <w:tcPr>
            <w:tcW w:w="1361" w:type="dxa"/>
            <w:tcBorders>
              <w:top w:val="single" w:sz="2" w:space="0" w:color="000001"/>
              <w:left w:val="single" w:sz="2" w:space="0" w:color="000001"/>
              <w:bottom w:val="single" w:sz="2" w:space="0" w:color="000001"/>
              <w:right w:val="nil"/>
            </w:tcBorders>
            <w:shd w:val="clear" w:color="auto" w:fill="FFFFFF"/>
            <w:tcMar>
              <w:left w:w="51" w:type="dxa"/>
            </w:tcMar>
          </w:tcPr>
          <w:p w:rsidR="00EE6D80" w:rsidRDefault="00357248">
            <w:pPr>
              <w:pStyle w:val="TableContents"/>
              <w:rPr>
                <w:b/>
                <w:bCs/>
              </w:rPr>
            </w:pPr>
            <w:r>
              <w:rPr>
                <w:b/>
                <w:bCs/>
              </w:rPr>
              <w:t>Amputation</w:t>
            </w:r>
          </w:p>
        </w:tc>
        <w:tc>
          <w:tcPr>
            <w:tcW w:w="2428" w:type="dxa"/>
            <w:tcBorders>
              <w:top w:val="single" w:sz="2" w:space="0" w:color="000001"/>
              <w:left w:val="single" w:sz="2" w:space="0" w:color="000001"/>
              <w:bottom w:val="single" w:sz="2" w:space="0" w:color="000001"/>
              <w:right w:val="nil"/>
            </w:tcBorders>
            <w:shd w:val="clear" w:color="auto" w:fill="FFFFFF"/>
            <w:tcMar>
              <w:left w:w="51" w:type="dxa"/>
            </w:tcMar>
          </w:tcPr>
          <w:p w:rsidR="00EE6D80" w:rsidRDefault="00357248">
            <w:pPr>
              <w:pStyle w:val="TableContents"/>
              <w:rPr>
                <w:b/>
                <w:bCs/>
              </w:rPr>
            </w:pPr>
            <w:r>
              <w:rPr>
                <w:b/>
                <w:bCs/>
              </w:rPr>
              <w:t>Effectors Used: (Calibration Mean Error)</w:t>
            </w:r>
          </w:p>
        </w:tc>
        <w:tc>
          <w:tcPr>
            <w:tcW w:w="1160" w:type="dxa"/>
            <w:tcBorders>
              <w:top w:val="single" w:sz="2" w:space="0" w:color="000001"/>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single" w:sz="2" w:space="0" w:color="000001"/>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single" w:sz="2" w:space="0" w:color="000001"/>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A01</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41</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(.40mm)</w:t>
            </w:r>
          </w:p>
          <w:p w:rsidR="00EE6D80" w:rsidRDefault="00357248">
            <w:pPr>
              <w:pStyle w:val="TableContents"/>
            </w:pPr>
            <w:r>
              <w:t>Mouth: (.40mm)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A02</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62</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(0mm)</w:t>
            </w:r>
          </w:p>
          <w:p w:rsidR="00EE6D80" w:rsidRDefault="00357248">
            <w:pPr>
              <w:pStyle w:val="TableContents"/>
            </w:pPr>
            <w:r>
              <w:t>Mouth: (.25mm)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A03</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47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(0mm)</w:t>
            </w:r>
          </w:p>
          <w:p w:rsidR="00EE6D80" w:rsidRDefault="00357248">
            <w:pPr>
              <w:pStyle w:val="TableContents"/>
            </w:pPr>
            <w:r>
              <w:t>Right Prosthesis: (.1mm)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A04</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57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(.9mm)</w:t>
            </w:r>
          </w:p>
          <w:p w:rsidR="00EE6D80" w:rsidRDefault="00357248">
            <w:pPr>
              <w:pStyle w:val="TableContents"/>
            </w:pPr>
            <w:r>
              <w:t>Mouth: (1.3mm)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A05</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43</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Forearm: (.35mm)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A06</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67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(.6mm)</w:t>
            </w:r>
          </w:p>
          <w:p w:rsidR="00EE6D80" w:rsidRDefault="00357248">
            <w:pPr>
              <w:pStyle w:val="TableContents"/>
            </w:pPr>
            <w:r>
              <w:t>Right Prosthesis: (.4mm)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A07</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31</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(0mm)</w:t>
            </w:r>
          </w:p>
          <w:p w:rsidR="00EE6D80" w:rsidRDefault="00357248">
            <w:pPr>
              <w:pStyle w:val="TableContents"/>
            </w:pPr>
            <w:r>
              <w:t>Right Prosthesis: (1.3mm)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A08</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64</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Mouth: (1.2mm)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A09</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43</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proofErr w:type="spellStart"/>
            <w:r>
              <w:t>Fenale</w:t>
            </w:r>
            <w:proofErr w:type="spellEnd"/>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 xml:space="preserve">Right </w:t>
            </w:r>
            <w:r>
              <w:t>(AE)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(.35mm)</w:t>
            </w:r>
          </w:p>
          <w:p w:rsidR="00EE6D80" w:rsidRDefault="00357248">
            <w:pPr>
              <w:pStyle w:val="TableContents"/>
            </w:pPr>
            <w:r>
              <w:t>Mouth: (1.65mm)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A10</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56</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(.1mm)</w:t>
            </w:r>
          </w:p>
          <w:p w:rsidR="00EE6D80" w:rsidRDefault="00357248">
            <w:pPr>
              <w:pStyle w:val="TableContents"/>
            </w:pPr>
            <w:r>
              <w:t>Right Forearm: (.55mm)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A11</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56</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Prosthesis: (2.45mm)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A12</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47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p w:rsidR="00EE6D80" w:rsidRDefault="00357248">
            <w:pPr>
              <w:pStyle w:val="TableContents"/>
            </w:pPr>
            <w:r>
              <w:t>Left (AE)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Forearm: (.4mm)</w:t>
            </w:r>
          </w:p>
          <w:p w:rsidR="00EE6D80" w:rsidRDefault="00357248">
            <w:pPr>
              <w:pStyle w:val="TableContents"/>
            </w:pPr>
            <w:r>
              <w:t>Right Forearm: (.6mm)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A13</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61</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(AE)</w:t>
            </w:r>
          </w:p>
          <w:p w:rsidR="00EE6D80" w:rsidRDefault="00357248">
            <w:pPr>
              <w:pStyle w:val="TableContents"/>
            </w:pPr>
            <w:r>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(.85mm)</w:t>
            </w:r>
          </w:p>
          <w:p w:rsidR="00EE6D80" w:rsidRDefault="00357248">
            <w:pPr>
              <w:pStyle w:val="TableContents"/>
            </w:pPr>
            <w:r>
              <w:t>Right Hand: (.6mm)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A14</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55</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(.86mm)</w:t>
            </w:r>
          </w:p>
          <w:p w:rsidR="00EE6D80" w:rsidRDefault="00EE6D80">
            <w:pPr>
              <w:pStyle w:val="TableContents"/>
            </w:pP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A15</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38</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A16</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52</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Prosthesis: (1.05mm)</w:t>
            </w:r>
          </w:p>
          <w:p w:rsidR="00EE6D80" w:rsidRDefault="00357248">
            <w:pPr>
              <w:pStyle w:val="TableContents"/>
            </w:pPr>
            <w:r>
              <w:t>Right Hand: (.4mm)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A17</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29</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 xml:space="preserve">Left Hand: </w:t>
            </w:r>
            <w:r>
              <w:t>(.1mm)</w:t>
            </w:r>
          </w:p>
          <w:p w:rsidR="00EE6D80" w:rsidRDefault="00357248">
            <w:pPr>
              <w:pStyle w:val="TableContents"/>
            </w:pPr>
            <w:r>
              <w:t>Right Forearm: (.15mm)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A18</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37</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Female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A19</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20</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Forearm: (.25mm)</w:t>
            </w:r>
          </w:p>
          <w:p w:rsidR="00EE6D80" w:rsidRDefault="00357248">
            <w:pPr>
              <w:pStyle w:val="TableContents"/>
            </w:pPr>
            <w:r>
              <w:t>Right Hand: (.45mm)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A20</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65</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Prosthesis: (.5mm)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A21</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32</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r w:rsidR="00EE6D80">
        <w:tc>
          <w:tcPr>
            <w:tcW w:w="896"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A22</w:t>
            </w: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49</w:t>
            </w:r>
          </w:p>
        </w:tc>
        <w:tc>
          <w:tcPr>
            <w:tcW w:w="897"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Male</w:t>
            </w:r>
          </w:p>
        </w:tc>
        <w:tc>
          <w:tcPr>
            <w:tcW w:w="1361"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Right (BE)</w:t>
            </w:r>
          </w:p>
        </w:tc>
        <w:tc>
          <w:tcPr>
            <w:tcW w:w="2428" w:type="dxa"/>
            <w:tcBorders>
              <w:top w:val="nil"/>
              <w:left w:val="single" w:sz="2" w:space="0" w:color="000001"/>
              <w:bottom w:val="single" w:sz="2" w:space="0" w:color="000001"/>
              <w:right w:val="nil"/>
            </w:tcBorders>
            <w:shd w:val="clear" w:color="auto" w:fill="FFFFFF"/>
            <w:tcMar>
              <w:left w:w="51" w:type="dxa"/>
            </w:tcMar>
          </w:tcPr>
          <w:p w:rsidR="00EE6D80" w:rsidRDefault="00357248">
            <w:pPr>
              <w:pStyle w:val="TableContents"/>
            </w:pPr>
            <w:r>
              <w:t>Left Hand: (0mm)</w:t>
            </w:r>
          </w:p>
          <w:p w:rsidR="00EE6D80" w:rsidRDefault="00357248">
            <w:pPr>
              <w:pStyle w:val="TableContents"/>
            </w:pPr>
            <w:r>
              <w:t>Mouth: (0mm)</w:t>
            </w:r>
          </w:p>
        </w:tc>
        <w:tc>
          <w:tcPr>
            <w:tcW w:w="116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540"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493" w:type="dxa"/>
            <w:tcBorders>
              <w:top w:val="nil"/>
              <w:left w:val="single" w:sz="2" w:space="0" w:color="000001"/>
              <w:bottom w:val="single" w:sz="2" w:space="0" w:color="000001"/>
              <w:right w:val="nil"/>
            </w:tcBorders>
            <w:shd w:val="clear" w:color="auto" w:fill="FFFFFF"/>
            <w:tcMar>
              <w:left w:w="51" w:type="dxa"/>
            </w:tcMar>
          </w:tcPr>
          <w:p w:rsidR="00EE6D80" w:rsidRDefault="00EE6D80">
            <w:pPr>
              <w:pStyle w:val="TableContents"/>
            </w:pPr>
          </w:p>
        </w:tc>
        <w:tc>
          <w:tcPr>
            <w:tcW w:w="1045" w:type="dxa"/>
            <w:tcBorders>
              <w:top w:val="nil"/>
              <w:left w:val="single" w:sz="2" w:space="0" w:color="000001"/>
              <w:bottom w:val="single" w:sz="2" w:space="0" w:color="000001"/>
              <w:right w:val="single" w:sz="2" w:space="0" w:color="000001"/>
            </w:tcBorders>
            <w:shd w:val="clear" w:color="auto" w:fill="FFFFFF"/>
            <w:tcMar>
              <w:left w:w="51" w:type="dxa"/>
            </w:tcMar>
          </w:tcPr>
          <w:p w:rsidR="00EE6D80" w:rsidRDefault="00EE6D80">
            <w:pPr>
              <w:pStyle w:val="TableContents"/>
            </w:pPr>
          </w:p>
        </w:tc>
      </w:tr>
    </w:tbl>
    <w:p w:rsidR="00EE6D80" w:rsidRDefault="00EE6D80">
      <w:pPr>
        <w:pStyle w:val="NoSpacing"/>
        <w:spacing w:line="480" w:lineRule="auto"/>
      </w:pPr>
    </w:p>
    <w:sectPr w:rsidR="00EE6D80">
      <w:headerReference w:type="default" r:id="rId6"/>
      <w:pgSz w:w="12240" w:h="15840"/>
      <w:pgMar w:top="1440" w:right="1440" w:bottom="1440" w:left="1440" w:header="630" w:footer="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248" w:rsidRDefault="00357248">
      <w:r>
        <w:separator/>
      </w:r>
    </w:p>
  </w:endnote>
  <w:endnote w:type="continuationSeparator" w:id="0">
    <w:p w:rsidR="00357248" w:rsidRDefault="0035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ucida Grande">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248" w:rsidRDefault="00357248">
      <w:r>
        <w:separator/>
      </w:r>
    </w:p>
  </w:footnote>
  <w:footnote w:type="continuationSeparator" w:id="0">
    <w:p w:rsidR="00357248" w:rsidRDefault="003572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D80" w:rsidRDefault="00357248">
    <w:pPr>
      <w:pStyle w:val="Header"/>
    </w:pPr>
    <w:r>
      <w:t xml:space="preserve">LOCOGNOSIA IN AMPUTEES                                                                                                    </w:t>
    </w:r>
    <w:r>
      <w:fldChar w:fldCharType="begin"/>
    </w:r>
    <w:r>
      <w:instrText>PAGE</w:instrText>
    </w:r>
    <w:r>
      <w:fldChar w:fldCharType="separate"/>
    </w:r>
    <w:r w:rsidR="000833D0">
      <w:rPr>
        <w:noProof/>
      </w:rPr>
      <w:t>7</w: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D80"/>
    <w:rsid w:val="000833D0"/>
    <w:rsid w:val="00357248"/>
    <w:rsid w:val="00EE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E595A-9B25-4983-BC30-15835968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CommentReference">
    <w:name w:val="annotation reference"/>
    <w:rPr>
      <w:sz w:val="18"/>
      <w:szCs w:val="18"/>
    </w:rPr>
  </w:style>
  <w:style w:type="character" w:customStyle="1" w:styleId="CommentTextChar">
    <w:name w:val="Comment Text Char"/>
    <w:rPr>
      <w:sz w:val="24"/>
      <w:szCs w:val="24"/>
    </w:rPr>
  </w:style>
  <w:style w:type="character" w:customStyle="1" w:styleId="CommentSubjectChar">
    <w:name w:val="Comment Subject Char"/>
    <w:rPr>
      <w:b/>
      <w:bCs/>
      <w:sz w:val="24"/>
      <w:szCs w:val="24"/>
    </w:rPr>
  </w:style>
  <w:style w:type="character" w:customStyle="1" w:styleId="BalloonTextChar">
    <w:name w:val="Balloon Text Char"/>
    <w:rPr>
      <w:rFonts w:ascii="Lucida Grande" w:hAnsi="Lucida Grande" w:cs="Lucida Grande"/>
      <w:sz w:val="18"/>
      <w:szCs w:val="18"/>
    </w:rPr>
  </w:style>
  <w:style w:type="character" w:customStyle="1" w:styleId="FooterChar">
    <w:name w:val="Footer Char"/>
    <w:basedOn w:val="DefaultParagraphFont"/>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Bibliography1">
    <w:name w:val="Bibliography 1"/>
    <w:basedOn w:val="Index"/>
    <w:pPr>
      <w:spacing w:line="480" w:lineRule="atLeast"/>
      <w:ind w:left="720" w:hanging="720"/>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Header">
    <w:name w:val="header"/>
    <w:basedOn w:val="Normal"/>
  </w:style>
  <w:style w:type="paragraph" w:styleId="CommentText">
    <w:name w:val="annotation text"/>
    <w:basedOn w:val="Normal"/>
    <w:rPr>
      <w:sz w:val="24"/>
      <w:szCs w:val="24"/>
    </w:rPr>
  </w:style>
  <w:style w:type="paragraph" w:styleId="CommentSubject">
    <w:name w:val="annotation subject"/>
    <w:basedOn w:val="CommentText"/>
    <w:rPr>
      <w:b/>
      <w:bCs/>
      <w:sz w:val="20"/>
      <w:szCs w:val="20"/>
    </w:rPr>
  </w:style>
  <w:style w:type="paragraph" w:styleId="Revision">
    <w:name w:val="Revision"/>
    <w:pPr>
      <w:suppressAutoHyphens/>
    </w:pPr>
  </w:style>
  <w:style w:type="paragraph" w:styleId="BalloonText">
    <w:name w:val="Balloon Text"/>
    <w:basedOn w:val="Normal"/>
    <w:rPr>
      <w:rFonts w:ascii="Lucida Grande" w:hAnsi="Lucida Grande" w:cs="Lucida Grande"/>
      <w:sz w:val="18"/>
      <w:szCs w:val="18"/>
    </w:rPr>
  </w:style>
  <w:style w:type="paragraph" w:styleId="NoSpacing">
    <w:name w:val="No Spacing"/>
    <w:pPr>
      <w:widowControl w:val="0"/>
      <w:suppressAutoHyphens/>
    </w:pPr>
  </w:style>
  <w:style w:type="paragraph" w:styleId="Footer">
    <w:name w:val="footer"/>
    <w:basedOn w:val="Normal"/>
    <w:pPr>
      <w:tabs>
        <w:tab w:val="center" w:pos="4320"/>
        <w:tab w:val="right" w:pos="8640"/>
      </w:tabs>
    </w:pPr>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Frey</dc:creator>
  <cp:lastModifiedBy>Nathan</cp:lastModifiedBy>
  <cp:revision>8</cp:revision>
  <cp:lastPrinted>1901-01-01T06:00:00Z</cp:lastPrinted>
  <dcterms:created xsi:type="dcterms:W3CDTF">2014-10-03T16:34:00Z</dcterms:created>
  <dcterms:modified xsi:type="dcterms:W3CDTF">2014-11-18T19:54:00Z</dcterms:modified>
  <dc:language>en-US</dc:language>
</cp:coreProperties>
</file>