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0A0B6" w14:textId="79213538" w:rsidR="00303A33" w:rsidRDefault="00000000">
      <w:pPr>
        <w:spacing w:after="240"/>
      </w:pPr>
      <w:r>
        <w:rPr>
          <w:rFonts w:cs="Times New Roman"/>
          <w:szCs w:val="20"/>
        </w:rPr>
        <w:t>УДК</w:t>
      </w:r>
      <w:r w:rsidR="004F442E">
        <w:rPr>
          <w:rFonts w:cs="Times New Roman"/>
          <w:szCs w:val="20"/>
        </w:rPr>
        <w:t xml:space="preserve"> </w:t>
      </w:r>
      <w:r w:rsidR="004F442E" w:rsidRPr="004F442E">
        <w:rPr>
          <w:rFonts w:cs="Times New Roman"/>
          <w:szCs w:val="20"/>
        </w:rPr>
        <w:t>004.89</w:t>
      </w:r>
    </w:p>
    <w:p w14:paraId="259230BF" w14:textId="77777777" w:rsidR="00303A33" w:rsidRDefault="00000000">
      <w:pPr>
        <w:spacing w:before="240" w:after="240"/>
      </w:pPr>
      <w:r>
        <w:rPr>
          <w:rFonts w:cs="Times New Roman"/>
          <w:szCs w:val="20"/>
        </w:rPr>
        <w:t>© Д.А. Антипенко, М.Е. Суханов, В.Ю. Радыгин, 2026</w:t>
      </w:r>
    </w:p>
    <w:p w14:paraId="7464E5ED" w14:textId="77777777" w:rsidR="00303A33" w:rsidRPr="004F442E" w:rsidRDefault="00000000">
      <w:pPr>
        <w:spacing w:before="240" w:after="240"/>
        <w:ind w:firstLine="280"/>
        <w:jc w:val="center"/>
        <w:rPr/>
      </w:pPr>
      <w:r>
        <w:rPr>
          <w:rFonts w:cs="Times New Roman"/>
          <w:b/>
          <w:bCs/>
          <w:szCs w:val="20"/>
        </w:rPr>
        <w:t>Выявление мошеннических транзакций на основе поведенческих и транзакционных признаков финансовых операций</w:t>
      </w:r>
    </w:p>
    <w:p w14:paraId="5DD5AD6E" w14:textId="77777777" w:rsidR="00303A33" w:rsidRDefault="00000000">
      <w:pPr>
        <w:spacing w:before="240" w:after="240"/>
        <w:ind w:firstLine="280"/>
        <w:jc w:val="right"/>
      </w:pPr>
      <w:r>
        <w:rPr>
          <w:rFonts w:cs="Times New Roman"/>
          <w:szCs w:val="20"/>
        </w:rPr>
        <w:t>Д.А. Антипенко</w:t>
      </w:r>
    </w:p>
    <w:p w14:paraId="696B4A5F" w14:textId="77777777" w:rsidR="00303A33" w:rsidRDefault="00000000">
      <w:pPr>
        <w:spacing w:before="240" w:after="240"/>
        <w:ind w:left="720" w:firstLine="720"/>
        <w:jc w:val="right"/>
      </w:pPr>
      <w:r>
        <w:rPr>
          <w:rFonts w:cs="Times New Roman"/>
          <w:szCs w:val="20"/>
        </w:rPr>
        <w:t>студент 4 курса специалитета НИЯУ МИФИ, Москва</w:t>
      </w:r>
    </w:p>
    <w:p w14:paraId="5411108D" w14:textId="77777777" w:rsidR="00303A33" w:rsidRDefault="00000000">
      <w:pPr>
        <w:spacing w:before="240" w:after="240"/>
        <w:ind w:firstLine="280"/>
        <w:jc w:val="right"/>
      </w:pPr>
      <w:proofErr w:type="spellStart"/>
      <w:r>
        <w:rPr>
          <w:rFonts w:cs="Times New Roman"/>
          <w:szCs w:val="20"/>
        </w:rPr>
        <w:t>Email</w:t>
      </w:r>
      <w:proofErr w:type="spellEnd"/>
      <w:r>
        <w:rPr>
          <w:rFonts w:cs="Times New Roman"/>
          <w:szCs w:val="20"/>
        </w:rPr>
        <w:t>:</w:t>
      </w:r>
      <w:r>
        <w:rPr>
          <w:rFonts w:cs="Times New Roman"/>
          <w:color w:val="FF0000"/>
          <w:szCs w:val="20"/>
        </w:rPr>
        <w:t xml:space="preserve"> </w:t>
      </w:r>
      <w:r>
        <w:rPr>
          <w:rFonts w:cs="Times New Roman"/>
          <w:szCs w:val="20"/>
        </w:rPr>
        <w:t>antip.ada@yandex.ru</w:t>
      </w:r>
    </w:p>
    <w:p w14:paraId="2DB4DC99" w14:textId="77777777" w:rsidR="00303A33" w:rsidRDefault="00000000">
      <w:pPr>
        <w:spacing w:before="240" w:after="240"/>
        <w:ind w:left="720" w:firstLine="720"/>
        <w:jc w:val="right"/>
      </w:pPr>
      <w:r>
        <w:rPr>
          <w:rFonts w:cs="Times New Roman"/>
          <w:szCs w:val="20"/>
        </w:rPr>
        <w:t>М.Е. Суханов</w:t>
      </w:r>
    </w:p>
    <w:p w14:paraId="0E7F983A" w14:textId="77777777" w:rsidR="00303A33" w:rsidRDefault="00000000">
      <w:pPr>
        <w:spacing w:before="240" w:after="240"/>
        <w:ind w:left="720" w:firstLine="720"/>
        <w:jc w:val="right"/>
      </w:pPr>
      <w:r>
        <w:rPr>
          <w:rFonts w:cs="Times New Roman"/>
          <w:szCs w:val="20"/>
        </w:rPr>
        <w:t>студент 4 курса специалитета НИЯУ МИФИ, Москва</w:t>
      </w:r>
    </w:p>
    <w:p w14:paraId="4FFF96DA" w14:textId="77777777" w:rsidR="00303A33" w:rsidRPr="004F442E" w:rsidRDefault="00000000">
      <w:pPr>
        <w:spacing w:before="240" w:after="240"/>
        <w:ind w:firstLine="280"/>
        <w:jc w:val="right"/>
        <w:rPr>
          <w:lang w:val="en-US"/>
        </w:rPr>
      </w:pPr>
      <w:r w:rsidRPr="004F442E">
        <w:rPr>
          <w:rFonts w:cs="Times New Roman"/>
          <w:szCs w:val="20"/>
          <w:lang w:val="en-US"/>
        </w:rPr>
        <w:t>Email: 7133210@gmail.com</w:t>
      </w:r>
    </w:p>
    <w:p w14:paraId="1B4B025D" w14:textId="77777777" w:rsidR="00303A33" w:rsidRPr="004F442E" w:rsidRDefault="00000000">
      <w:pPr>
        <w:spacing w:before="240" w:after="240"/>
        <w:ind w:firstLine="280"/>
        <w:jc w:val="right"/>
        <w:rPr>
          <w:rFonts w:cs="Times New Roman"/>
          <w:color w:val="000000" w:themeColor="text1"/>
          <w:lang w:val="en-US"/>
        </w:rPr>
      </w:pPr>
      <w:r>
        <w:rPr>
          <w:rFonts w:cs="Times New Roman"/>
          <w:color w:val="000000" w:themeColor="text1"/>
          <w:szCs w:val="20"/>
        </w:rPr>
        <w:t>В</w:t>
      </w:r>
      <w:r w:rsidRPr="004F442E">
        <w:rPr>
          <w:rFonts w:cs="Times New Roman"/>
          <w:color w:val="000000" w:themeColor="text1"/>
          <w:szCs w:val="20"/>
          <w:lang w:val="en-US"/>
        </w:rPr>
        <w:t>.</w:t>
      </w:r>
      <w:r>
        <w:rPr>
          <w:rFonts w:cs="Times New Roman"/>
          <w:color w:val="000000" w:themeColor="text1"/>
          <w:szCs w:val="20"/>
        </w:rPr>
        <w:t>Ю</w:t>
      </w:r>
      <w:r w:rsidRPr="004F442E">
        <w:rPr>
          <w:rFonts w:cs="Times New Roman"/>
          <w:color w:val="000000" w:themeColor="text1"/>
          <w:szCs w:val="20"/>
          <w:lang w:val="en-US"/>
        </w:rPr>
        <w:t xml:space="preserve">. </w:t>
      </w:r>
      <w:r>
        <w:rPr>
          <w:rFonts w:cs="Times New Roman"/>
          <w:color w:val="000000" w:themeColor="text1"/>
          <w:szCs w:val="20"/>
        </w:rPr>
        <w:t>Радыгин</w:t>
      </w:r>
    </w:p>
    <w:p w14:paraId="27A6631B" w14:textId="6385FCC2" w:rsidR="00303A33" w:rsidRDefault="00000000">
      <w:pPr>
        <w:spacing w:before="240" w:after="240"/>
        <w:ind w:firstLine="0"/>
        <w:jc w:val="right"/>
        <w:rPr>
          <w:color w:val="000000" w:themeColor="text1"/>
        </w:rPr>
      </w:pPr>
      <w:r>
        <w:t xml:space="preserve">Доцент </w:t>
      </w:r>
      <w:r w:rsidR="004F442E">
        <w:t>к</w:t>
      </w:r>
      <w:r>
        <w:t xml:space="preserve">афедры </w:t>
      </w:r>
      <w:r w:rsidR="004F442E">
        <w:t>ф</w:t>
      </w:r>
      <w:r>
        <w:t xml:space="preserve">инансового </w:t>
      </w:r>
      <w:r w:rsidR="004F442E">
        <w:t>м</w:t>
      </w:r>
      <w:r>
        <w:t>ониторинга</w:t>
      </w:r>
      <w:r>
        <w:rPr>
          <w:rFonts w:cs="Times New Roman"/>
          <w:color w:val="000000" w:themeColor="text1"/>
          <w:szCs w:val="20"/>
        </w:rPr>
        <w:t xml:space="preserve"> НИЯУ МИФИ,</w:t>
      </w:r>
      <w:r w:rsidR="004F442E">
        <w:rPr>
          <w:rFonts w:cs="Times New Roman"/>
          <w:color w:val="000000" w:themeColor="text1"/>
          <w:szCs w:val="20"/>
        </w:rPr>
        <w:t xml:space="preserve"> к.т.н.,</w:t>
      </w:r>
      <w:r>
        <w:rPr>
          <w:rFonts w:cs="Times New Roman"/>
          <w:color w:val="000000" w:themeColor="text1"/>
          <w:szCs w:val="20"/>
        </w:rPr>
        <w:t xml:space="preserve"> Москва</w:t>
      </w:r>
    </w:p>
    <w:p w14:paraId="3534DAED" w14:textId="77777777" w:rsidR="00303A33" w:rsidRDefault="00000000">
      <w:pPr>
        <w:spacing w:before="240" w:after="240"/>
        <w:ind w:firstLine="280"/>
        <w:jc w:val="right"/>
        <w:rPr>
          <w:color w:val="000000" w:themeColor="text1"/>
        </w:rPr>
      </w:pPr>
      <w:r>
        <w:rPr>
          <w:rFonts w:cs="Times New Roman"/>
          <w:color w:val="000000" w:themeColor="text1"/>
          <w:szCs w:val="20"/>
          <w:lang w:val="en-US"/>
        </w:rPr>
        <w:t>Email</w:t>
      </w:r>
      <w:r>
        <w:rPr>
          <w:rFonts w:cs="Times New Roman"/>
          <w:color w:val="000000" w:themeColor="text1"/>
          <w:szCs w:val="20"/>
        </w:rPr>
        <w:t xml:space="preserve">:  </w:t>
      </w:r>
      <w:r>
        <w:t>vyradygin@mephi.ru</w:t>
      </w:r>
    </w:p>
    <w:p w14:paraId="47BF80F3" w14:textId="77777777" w:rsidR="00303A33" w:rsidRDefault="00000000">
      <w:pPr>
        <w:ind w:left="0"/>
        <w:contextualSpacing/>
      </w:pPr>
      <w:r>
        <w:rPr>
          <w:rFonts w:cs="Times New Roman"/>
          <w:szCs w:val="20"/>
        </w:rPr>
        <w:t>Аннотация:</w:t>
      </w:r>
      <w:r>
        <w:rPr>
          <w:rFonts w:cs="Times New Roman"/>
          <w:i/>
          <w:iCs/>
          <w:szCs w:val="20"/>
        </w:rPr>
        <w:t xml:space="preserve"> в статье рассматривается задача анализа набора данных финансовых транзакций с целью выявления признаков, позволяющих классифицировать операции как мошеннические. Исследуются основные характеристики операций, формируются критерии, позволяющие определить подозрительную активность, оцениваются метрики качества модели.</w:t>
      </w:r>
    </w:p>
    <w:p w14:paraId="18C2D5BA" w14:textId="77777777" w:rsidR="00303A33" w:rsidRDefault="00000000">
      <w:pPr>
        <w:ind w:left="0"/>
        <w:contextualSpacing/>
        <w:rPr>
          <w:rFonts w:cs="Times New Roman"/>
          <w:bCs/>
          <w:i/>
        </w:rPr>
      </w:pPr>
      <w:r>
        <w:rPr>
          <w:rFonts w:cs="Times New Roman"/>
          <w:szCs w:val="20"/>
        </w:rPr>
        <w:t xml:space="preserve">Ключевые слова: </w:t>
      </w:r>
      <w:r>
        <w:rPr>
          <w:rFonts w:cs="Times New Roman"/>
          <w:i/>
          <w:iCs/>
          <w:szCs w:val="20"/>
        </w:rPr>
        <w:t xml:space="preserve">обнаружение мошенничества, финансовые транзакции, машинное обучение, бинарная классификация, логистическая регрессия, случайный лес, градиентный </w:t>
      </w:r>
      <w:proofErr w:type="spellStart"/>
      <w:r>
        <w:rPr>
          <w:rFonts w:cs="Times New Roman"/>
          <w:i/>
          <w:iCs/>
          <w:szCs w:val="20"/>
        </w:rPr>
        <w:t>бустинг</w:t>
      </w:r>
      <w:proofErr w:type="spellEnd"/>
      <w:r>
        <w:rPr>
          <w:rFonts w:cs="Times New Roman"/>
          <w:i/>
          <w:iCs/>
          <w:szCs w:val="20"/>
        </w:rPr>
        <w:t>, ансамблевые методы, ROC-AUC, разработка признаков, дисбаланс классов.</w:t>
      </w:r>
    </w:p>
    <w:p w14:paraId="058E062F" w14:textId="77777777" w:rsidR="00303A33" w:rsidRPr="004F442E" w:rsidRDefault="00000000">
      <w:pPr>
        <w:spacing w:before="240" w:after="240"/>
        <w:ind w:firstLine="280"/>
        <w:jc w:val="center"/>
        <w:rPr>
          <w:b/>
          <w:bCs/>
          <w:lang w:val="en-US"/>
        </w:rPr>
      </w:pPr>
      <w:r w:rsidRPr="004F442E">
        <w:rPr>
          <w:rFonts w:cs="Times New Roman"/>
          <w:b/>
          <w:bCs/>
          <w:szCs w:val="20"/>
          <w:lang w:val="en-US"/>
        </w:rPr>
        <w:t>Detection of Fraudulent Transactions Based on Behavioral and Transactional Features of Financial Operations</w:t>
      </w:r>
    </w:p>
    <w:p w14:paraId="348FE2BC" w14:textId="77777777" w:rsidR="00303A33" w:rsidRPr="004F442E" w:rsidRDefault="00000000">
      <w:pPr>
        <w:spacing w:before="240" w:after="240"/>
        <w:ind w:firstLine="280"/>
        <w:jc w:val="right"/>
        <w:rPr>
          <w:lang w:val="en-US"/>
        </w:rPr>
      </w:pPr>
      <w:r w:rsidRPr="004F442E">
        <w:rPr>
          <w:rFonts w:cs="Times New Roman"/>
          <w:szCs w:val="20"/>
          <w:lang w:val="en-US"/>
        </w:rPr>
        <w:t xml:space="preserve">D.A. </w:t>
      </w:r>
      <w:proofErr w:type="spellStart"/>
      <w:r w:rsidRPr="004F442E">
        <w:rPr>
          <w:rFonts w:cs="Times New Roman"/>
          <w:szCs w:val="20"/>
          <w:lang w:val="en-US"/>
        </w:rPr>
        <w:t>Antipenko</w:t>
      </w:r>
      <w:proofErr w:type="spellEnd"/>
    </w:p>
    <w:p w14:paraId="0EFA1FD7" w14:textId="77777777" w:rsidR="00303A33" w:rsidRPr="004F442E" w:rsidRDefault="00000000">
      <w:pPr>
        <w:spacing w:before="240" w:after="240"/>
        <w:ind w:firstLine="280"/>
        <w:jc w:val="right"/>
        <w:rPr>
          <w:lang w:val="en-US"/>
        </w:rPr>
      </w:pPr>
      <w:r w:rsidRPr="004F442E">
        <w:rPr>
          <w:rFonts w:cs="Times New Roman"/>
          <w:szCs w:val="20"/>
          <w:lang w:val="en-US"/>
        </w:rPr>
        <w:lastRenderedPageBreak/>
        <w:t>4th year undergraduate student at NRNU MEPhI, Moscow</w:t>
      </w:r>
    </w:p>
    <w:p w14:paraId="2CA430E8" w14:textId="77777777" w:rsidR="00303A33" w:rsidRPr="004F442E" w:rsidRDefault="00000000">
      <w:pPr>
        <w:spacing w:before="240" w:after="240"/>
        <w:ind w:firstLine="280"/>
        <w:jc w:val="right"/>
        <w:rPr>
          <w:lang w:val="en-US"/>
        </w:rPr>
      </w:pPr>
      <w:r w:rsidRPr="004F442E">
        <w:rPr>
          <w:rFonts w:cs="Times New Roman"/>
          <w:szCs w:val="20"/>
          <w:lang w:val="en-US"/>
        </w:rPr>
        <w:t>Email: antip.ada@yandex.ru</w:t>
      </w:r>
    </w:p>
    <w:p w14:paraId="31F4F7CB" w14:textId="77777777" w:rsidR="00303A33" w:rsidRPr="004F442E" w:rsidRDefault="00000000">
      <w:pPr>
        <w:spacing w:before="240" w:after="240"/>
        <w:ind w:firstLine="280"/>
        <w:jc w:val="right"/>
        <w:rPr>
          <w:lang w:val="en-US"/>
        </w:rPr>
      </w:pPr>
      <w:r w:rsidRPr="004F442E">
        <w:rPr>
          <w:rFonts w:cs="Times New Roman"/>
          <w:szCs w:val="20"/>
          <w:lang w:val="en-US"/>
        </w:rPr>
        <w:t>M.E. Sukhanov</w:t>
      </w:r>
    </w:p>
    <w:p w14:paraId="1DD2F37A" w14:textId="77777777" w:rsidR="00303A33" w:rsidRPr="004F442E" w:rsidRDefault="00000000">
      <w:pPr>
        <w:spacing w:before="240" w:after="240"/>
        <w:ind w:firstLine="280"/>
        <w:jc w:val="right"/>
        <w:rPr>
          <w:lang w:val="en-US"/>
        </w:rPr>
      </w:pPr>
      <w:r w:rsidRPr="004F442E">
        <w:rPr>
          <w:rFonts w:cs="Times New Roman"/>
          <w:szCs w:val="20"/>
          <w:lang w:val="en-US"/>
        </w:rPr>
        <w:t>4th year undergraduate student at NRNU MEPhI, Moscow</w:t>
      </w:r>
    </w:p>
    <w:p w14:paraId="40D342CC" w14:textId="77777777" w:rsidR="00303A33" w:rsidRPr="004F442E" w:rsidRDefault="00000000">
      <w:pPr>
        <w:spacing w:before="240" w:after="240"/>
        <w:ind w:firstLine="280"/>
        <w:jc w:val="right"/>
        <w:rPr>
          <w:lang w:val="en-US"/>
        </w:rPr>
      </w:pPr>
      <w:r w:rsidRPr="004F442E">
        <w:rPr>
          <w:rFonts w:cs="Times New Roman"/>
          <w:szCs w:val="20"/>
          <w:lang w:val="en-US"/>
        </w:rPr>
        <w:t>Email: 7133210@gmail.com</w:t>
      </w:r>
    </w:p>
    <w:p w14:paraId="03B65DC9" w14:textId="77777777" w:rsidR="00303A33" w:rsidRPr="004F442E" w:rsidRDefault="00000000">
      <w:pPr>
        <w:spacing w:before="240" w:after="240"/>
        <w:ind w:firstLine="280"/>
        <w:jc w:val="right"/>
        <w:rPr>
          <w:lang w:val="en-US"/>
        </w:rPr>
      </w:pPr>
      <w:r>
        <w:rPr>
          <w:rFonts w:cs="Times New Roman"/>
          <w:szCs w:val="20"/>
          <w:lang w:val="en-US"/>
        </w:rPr>
        <w:t xml:space="preserve">V.Y. </w:t>
      </w:r>
      <w:proofErr w:type="spellStart"/>
      <w:r w:rsidRPr="004F442E">
        <w:rPr>
          <w:lang w:val="en-US"/>
        </w:rPr>
        <w:t>Radygin</w:t>
      </w:r>
      <w:proofErr w:type="spellEnd"/>
    </w:p>
    <w:p w14:paraId="06389B0D" w14:textId="77777777" w:rsidR="00303A33" w:rsidRPr="004F442E" w:rsidRDefault="00000000">
      <w:pPr>
        <w:spacing w:before="240" w:after="240"/>
        <w:ind w:firstLine="0"/>
        <w:jc w:val="right"/>
        <w:rPr>
          <w:lang w:val="en-US"/>
        </w:rPr>
      </w:pPr>
      <w:r>
        <w:rPr>
          <w:lang w:val="en-US"/>
        </w:rPr>
        <w:t>A</w:t>
      </w:r>
      <w:r w:rsidRPr="004F442E">
        <w:rPr>
          <w:lang w:val="en-US"/>
        </w:rPr>
        <w:t xml:space="preserve">ssistant </w:t>
      </w:r>
      <w:r>
        <w:rPr>
          <w:lang w:val="en-US"/>
        </w:rPr>
        <w:t>P</w:t>
      </w:r>
      <w:r w:rsidRPr="004F442E">
        <w:rPr>
          <w:lang w:val="en-US"/>
        </w:rPr>
        <w:t>rofessor of dept. Financial Monitoring</w:t>
      </w:r>
      <w:r w:rsidRPr="004F442E">
        <w:rPr>
          <w:rFonts w:cs="Times New Roman"/>
          <w:szCs w:val="20"/>
          <w:lang w:val="en-US"/>
        </w:rPr>
        <w:t>, NRNU MEPhI, Moscow</w:t>
      </w:r>
    </w:p>
    <w:p w14:paraId="44A0E996" w14:textId="77777777" w:rsidR="00303A33" w:rsidRPr="004F442E" w:rsidRDefault="00000000">
      <w:pPr>
        <w:spacing w:before="240" w:after="240"/>
        <w:ind w:firstLine="280"/>
        <w:jc w:val="right"/>
        <w:rPr>
          <w:lang w:val="en-US"/>
        </w:rPr>
      </w:pPr>
      <w:r w:rsidRPr="004F442E">
        <w:rPr>
          <w:rFonts w:cs="Times New Roman"/>
          <w:szCs w:val="20"/>
          <w:lang w:val="en-US"/>
        </w:rPr>
        <w:t>Email: vyradygin@mephi.ru</w:t>
      </w:r>
    </w:p>
    <w:p w14:paraId="6C2DEB3E" w14:textId="77777777" w:rsidR="00303A33" w:rsidRPr="004F442E" w:rsidRDefault="00000000">
      <w:pPr>
        <w:rPr>
          <w:lang w:val="en-US"/>
        </w:rPr>
      </w:pPr>
      <w:r w:rsidRPr="004F442E">
        <w:rPr>
          <w:rFonts w:cs="Times New Roman"/>
          <w:szCs w:val="20"/>
          <w:lang w:val="en-US"/>
        </w:rPr>
        <w:t>Abstract</w:t>
      </w:r>
      <w:r w:rsidRPr="004F442E">
        <w:rPr>
          <w:rFonts w:cs="Times New Roman"/>
          <w:i/>
          <w:iCs/>
          <w:szCs w:val="20"/>
          <w:lang w:val="en-US"/>
        </w:rPr>
        <w:t>: The article addresses the problem of analyzing a dataset of financial transactions in order to identify features enabling the classification of operations as fraudulent. Key transaction characteristics are examined, criteria for detecting suspicious activity are formulated, and model quality metrics are evaluated.</w:t>
      </w:r>
    </w:p>
    <w:p w14:paraId="38A69BDD" w14:textId="77777777" w:rsidR="00303A33" w:rsidRPr="004F442E" w:rsidRDefault="00000000">
      <w:pPr>
        <w:rPr>
          <w:rFonts w:cs="Times New Roman"/>
          <w:color w:val="FF0000"/>
          <w:lang w:val="en-US"/>
        </w:rPr>
      </w:pPr>
      <w:r w:rsidRPr="004F442E">
        <w:rPr>
          <w:rFonts w:cs="Times New Roman"/>
          <w:szCs w:val="20"/>
          <w:lang w:val="en-US"/>
        </w:rPr>
        <w:t>Keywords</w:t>
      </w:r>
      <w:r w:rsidRPr="004F442E">
        <w:rPr>
          <w:rFonts w:cs="Times New Roman"/>
          <w:i/>
          <w:iCs/>
          <w:szCs w:val="20"/>
          <w:lang w:val="en-US"/>
        </w:rPr>
        <w:t>: fraud detection, financial transactions, machine learning, binary classification, logistic regression, random forest, gradient boosting, ensemble methods, ROC-AUC, feature engineering, class imbalance.</w:t>
      </w:r>
    </w:p>
    <w:p w14:paraId="6AB64E51" w14:textId="77777777" w:rsidR="00303A33" w:rsidRPr="004F442E" w:rsidRDefault="00303A33">
      <w:pPr>
        <w:rPr>
          <w:rFonts w:cs="Times New Roman"/>
          <w:color w:val="FF0000"/>
          <w:lang w:val="en-US"/>
        </w:rPr>
      </w:pPr>
    </w:p>
    <w:p w14:paraId="6EE75BE1" w14:textId="77777777" w:rsidR="00303A33" w:rsidRDefault="00000000">
      <w:pPr>
        <w:rPr/>
      </w:pPr>
      <w:r>
        <w:rPr>
          <w:rFonts w:cs="Times New Roman"/>
          <w:szCs w:val="20"/>
        </w:rPr>
        <w:t xml:space="preserve">Цифровизация финансовых услуг и рост числа онлайн-операций повышают риск мошеннических транзакций и усложняют их своевременное выявление. Традиционные методы контроля становятся недостаточно эффективными, поэтому всё чаще применяются методы анализа данных и машинного обучения. </w:t>
      </w:r>
    </w:p>
    <w:p w14:paraId="3CBCBA81" w14:textId="77777777" w:rsidR="00303A33" w:rsidRDefault="00000000">
      <w:pPr>
        <w:contextualSpacing/>
        <w:rPr>
          <w:rFonts w:cs="Times New Roman"/>
          <w:szCs w:val="20"/>
        </w:rPr>
      </w:pPr>
      <w:r>
        <w:rPr>
          <w:rFonts w:cs="Times New Roman"/>
          <w:szCs w:val="20"/>
        </w:rPr>
        <w:t>Одними из основных подходов, используемых для анализа данных, являются деревья решений, логистическая регрессия и ансамблевые методы (</w:t>
      </w:r>
      <w:proofErr w:type="spellStart"/>
      <w:r>
        <w:rPr>
          <w:rFonts w:cs="Times New Roman"/>
          <w:szCs w:val="20"/>
        </w:rPr>
        <w:t>Random</w:t>
      </w:r>
      <w:proofErr w:type="spellEnd"/>
      <w:r>
        <w:rPr>
          <w:rFonts w:cs="Times New Roman"/>
          <w:szCs w:val="20"/>
        </w:rPr>
        <w:t xml:space="preserve"> </w:t>
      </w:r>
      <w:proofErr w:type="spellStart"/>
      <w:r>
        <w:rPr>
          <w:rFonts w:cs="Times New Roman"/>
          <w:szCs w:val="20"/>
        </w:rPr>
        <w:t>Forest</w:t>
      </w:r>
      <w:proofErr w:type="spellEnd"/>
      <w:r>
        <w:rPr>
          <w:rFonts w:cs="Times New Roman"/>
          <w:szCs w:val="20"/>
        </w:rPr>
        <w:t xml:space="preserve">, </w:t>
      </w:r>
      <w:proofErr w:type="spellStart"/>
      <w:r>
        <w:rPr>
          <w:rFonts w:cs="Times New Roman"/>
          <w:szCs w:val="20"/>
        </w:rPr>
        <w:t>Gradient</w:t>
      </w:r>
      <w:proofErr w:type="spellEnd"/>
      <w:r>
        <w:rPr>
          <w:rFonts w:cs="Times New Roman"/>
          <w:szCs w:val="20"/>
        </w:rPr>
        <w:t xml:space="preserve"> </w:t>
      </w:r>
      <w:proofErr w:type="spellStart"/>
      <w:r>
        <w:rPr>
          <w:rFonts w:cs="Times New Roman"/>
          <w:szCs w:val="20"/>
        </w:rPr>
        <w:t>Boosting</w:t>
      </w:r>
      <w:proofErr w:type="spellEnd"/>
      <w:r>
        <w:rPr>
          <w:rFonts w:cs="Times New Roman"/>
          <w:szCs w:val="20"/>
        </w:rPr>
        <w:t>), а также нейронные сети</w:t>
      </w:r>
      <w:r>
        <w:t xml:space="preserve"> </w:t>
      </w:r>
      <w:bookmarkStart w:id="88" w:name="ZOTERO_BREF_G1jzHfPGxiyA"/>
      <w:r>
        <w:rPr>
          <w:rFonts w:cs="Times New Roman"/>
        </w:rPr>
        <w:t>[4]</w:t>
      </w:r>
      <w:bookmarkEnd w:id="88"/>
      <w:r>
        <w:rPr>
          <w:rFonts w:cs="Times New Roman"/>
          <w:szCs w:val="20"/>
        </w:rPr>
        <w:t>.</w:t>
      </w:r>
    </w:p>
    <w:p w14:paraId="2F4BB2C4" w14:textId="77777777" w:rsidR="00303A33" w:rsidRDefault="00000000">
      <w:pPr>
        <w:contextualSpacing/>
        <w:rPr>
          <w:rFonts w:cs="Times New Roman"/>
          <w:szCs w:val="20"/>
        </w:rPr>
      </w:pPr>
      <w:r>
        <w:rPr>
          <w:rFonts w:cs="Times New Roman"/>
          <w:szCs w:val="20"/>
        </w:rPr>
        <w:t xml:space="preserve">Данные методы позволяют выявлять закономерности в поведении пользователей и характеристиках операций, а также классифицировать транзакции как легитимные или подозрительные. </w:t>
      </w:r>
    </w:p>
    <w:p w14:paraId="0615E31F" w14:textId="77777777" w:rsidR="00303A33" w:rsidRDefault="00000000">
      <w:pPr>
        <w:contextualSpacing/>
        <w:rPr/>
      </w:pPr>
      <w:r>
        <w:t>Целью настоящего исследования является выявление и формализация технических и поведенческих признаков, позволяющих достоверно характеризовать финансовую операцию как мошенническую, на основе данных о транзакции.</w:t>
      </w:r>
    </w:p>
    <w:p w14:paraId="10B6CE8B" w14:textId="77777777" w:rsidR="00303A33" w:rsidRDefault="00000000">
      <w:pPr>
        <w:rPr/>
      </w:pPr>
      <w:r>
        <w:br w:type="column"/>
      </w:r>
      <w:r>
        <w:rPr>
          <w:rFonts w:cs="Times New Roman"/>
          <w:szCs w:val="20"/>
        </w:rPr>
        <w:lastRenderedPageBreak/>
        <w:t>В рамках данного исследования сформулированы следующие гипотезы:</w:t>
      </w:r>
    </w:p>
    <w:p w14:paraId="501E5967" w14:textId="77777777" w:rsidR="00303A33" w:rsidRDefault="00000000">
      <w:pPr>
        <w:pStyle w:val="affe"/>
        <w:numPr>
          <w:ilvl w:val="0"/>
          <w:numId w:val="2"/>
        </w:numPr>
      </w:pPr>
      <w:r>
        <w:rPr>
          <w:rFonts w:cs="Times New Roman"/>
          <w:szCs w:val="20"/>
        </w:rPr>
        <w:t xml:space="preserve">Международные транзакции совершаются в мошеннических целях значимо чаще, чем внутренние </w:t>
      </w:r>
      <w:r>
        <w:rPr>
          <w:rFonts w:cs="Times New Roman"/>
          <w:i/>
          <w:iCs/>
          <w:szCs w:val="20"/>
        </w:rPr>
        <w:t>(в результате проведенного исследования исходного набора данных: доля мошенничества среди международных — 6,1%, среди внутренних — 3,5% (рис. 1)).</w:t>
      </w:r>
    </w:p>
    <w:p w14:paraId="37589305" w14:textId="77777777" w:rsidR="00303A33" w:rsidRDefault="00000000">
      <w:pPr>
        <w:pStyle w:val="affe"/>
        <w:numPr>
          <w:ilvl w:val="0"/>
          <w:numId w:val="2"/>
        </w:numPr>
      </w:pPr>
      <w:r>
        <w:rPr>
          <w:rFonts w:cs="Times New Roman"/>
          <w:szCs w:val="20"/>
        </w:rPr>
        <w:t xml:space="preserve">Транзакции, выполненные в необычное время (ночью), характеризуются более высокой долей мошеннических операций </w:t>
      </w:r>
      <w:r>
        <w:rPr>
          <w:rFonts w:cs="Times New Roman"/>
          <w:i/>
          <w:iCs/>
          <w:szCs w:val="20"/>
        </w:rPr>
        <w:t xml:space="preserve">(в результате проведенного исследования исходного набора данных: </w:t>
      </w:r>
      <w:r>
        <w:rPr>
          <w:rFonts w:cs="Times New Roman"/>
          <w:i/>
          <w:iCs/>
          <w:szCs w:val="20"/>
          <w:lang w:val="en-US"/>
        </w:rPr>
        <w:t>Unusual</w:t>
      </w:r>
      <w:r>
        <w:rPr>
          <w:rFonts w:cs="Times New Roman"/>
          <w:i/>
          <w:iCs/>
          <w:szCs w:val="20"/>
        </w:rPr>
        <w:t>_</w:t>
      </w:r>
      <w:r>
        <w:rPr>
          <w:rFonts w:cs="Times New Roman"/>
          <w:i/>
          <w:iCs/>
          <w:szCs w:val="20"/>
          <w:lang w:val="en-US"/>
        </w:rPr>
        <w:t>Time</w:t>
      </w:r>
      <w:r>
        <w:rPr>
          <w:rFonts w:cs="Times New Roman"/>
          <w:i/>
          <w:iCs/>
          <w:szCs w:val="20"/>
        </w:rPr>
        <w:t xml:space="preserve"> = </w:t>
      </w:r>
      <w:r>
        <w:rPr>
          <w:rFonts w:cs="Times New Roman"/>
          <w:i/>
          <w:iCs/>
          <w:szCs w:val="20"/>
          <w:lang w:val="en-US"/>
        </w:rPr>
        <w:t>Yes</w:t>
      </w:r>
      <w:r>
        <w:rPr>
          <w:rFonts w:cs="Times New Roman"/>
          <w:i/>
          <w:iCs/>
          <w:szCs w:val="20"/>
        </w:rPr>
        <w:t xml:space="preserve"> — 6,1%, </w:t>
      </w:r>
      <w:r>
        <w:rPr>
          <w:rFonts w:cs="Times New Roman"/>
          <w:i/>
          <w:iCs/>
          <w:szCs w:val="20"/>
          <w:lang w:val="en-US"/>
        </w:rPr>
        <w:t>No</w:t>
      </w:r>
      <w:r>
        <w:rPr>
          <w:rFonts w:cs="Times New Roman"/>
          <w:i/>
          <w:iCs/>
          <w:szCs w:val="20"/>
        </w:rPr>
        <w:t xml:space="preserve"> — 3,6%; </w:t>
      </w:r>
      <w:r>
        <w:rPr>
          <w:rFonts w:cs="Times New Roman"/>
          <w:i/>
          <w:iCs/>
          <w:szCs w:val="20"/>
          <w:lang w:val="en-US"/>
        </w:rPr>
        <w:t>is</w:t>
      </w:r>
      <w:r>
        <w:rPr>
          <w:rFonts w:cs="Times New Roman"/>
          <w:i/>
          <w:iCs/>
          <w:szCs w:val="20"/>
        </w:rPr>
        <w:t>_</w:t>
      </w:r>
      <w:r>
        <w:rPr>
          <w:rFonts w:cs="Times New Roman"/>
          <w:i/>
          <w:iCs/>
          <w:szCs w:val="20"/>
          <w:lang w:val="en-US"/>
        </w:rPr>
        <w:t>night</w:t>
      </w:r>
      <w:r>
        <w:rPr>
          <w:rFonts w:cs="Times New Roman"/>
          <w:i/>
          <w:iCs/>
          <w:szCs w:val="20"/>
        </w:rPr>
        <w:t xml:space="preserve"> коррелирует с </w:t>
      </w:r>
      <w:r>
        <w:rPr>
          <w:rFonts w:cs="Times New Roman"/>
          <w:i/>
          <w:iCs/>
          <w:szCs w:val="20"/>
          <w:lang w:val="en-US"/>
        </w:rPr>
        <w:t>Fraud</w:t>
      </w:r>
      <w:r>
        <w:rPr>
          <w:rFonts w:cs="Times New Roman"/>
          <w:i/>
          <w:iCs/>
          <w:szCs w:val="20"/>
        </w:rPr>
        <w:t>_</w:t>
      </w:r>
      <w:r>
        <w:rPr>
          <w:rFonts w:cs="Times New Roman"/>
          <w:i/>
          <w:iCs/>
          <w:szCs w:val="20"/>
          <w:lang w:val="en-US"/>
        </w:rPr>
        <w:t>Label</w:t>
      </w:r>
      <w:r>
        <w:rPr>
          <w:rFonts w:cs="Times New Roman"/>
          <w:i/>
          <w:iCs/>
          <w:szCs w:val="20"/>
        </w:rPr>
        <w:t xml:space="preserve"> (рис. 2)).</w:t>
      </w:r>
    </w:p>
    <w:p w14:paraId="5C0CEF0C" w14:textId="77777777" w:rsidR="00303A33" w:rsidRDefault="00303A33">
      <w:pPr>
        <w:contextualSpacing/>
        <w:rPr>
          <w:rFonts w:cs="Times New Roman"/>
          <w:szCs w:val="20"/>
        </w:rPr>
      </w:pPr>
    </w:p>
    <w:p w14:paraId="773B7D17" w14:textId="77777777" w:rsidR="00303A33" w:rsidRDefault="00000000">
      <w:pPr>
        <w:contextualSpacing/>
        <w:jc w:val="center"/>
      </w:pPr>
      <w:r>
        <w:rPr>
          <w:noProof/>
        </w:rPr>
        <mc:AlternateContent>
          <mc:Choice Requires="wpg">
            <w:drawing>
              <wp:inline distT="0" distB="0" distL="0" distR="0" wp14:anchorId="211C6098" wp14:editId="58B2694E">
                <wp:extent cx="2906395" cy="1130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rotWithShape="1">
                        <a:blip r:embed="rId8"/>
                        <a:stretch/>
                      </pic:blipFill>
                      <pic:spPr bwMode="auto">
                        <a:xfrm>
                          <a:off x="0" y="0"/>
                          <a:ext cx="2906395" cy="113030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8.85pt;height:89.00pt;mso-wrap-distance-left:0.00pt;mso-wrap-distance-top:0.00pt;mso-wrap-distance-right:0.00pt;mso-wrap-distance-bottom:0.00pt;z-index:1;" stroked="false">
                <v:imagedata r:id="rId10" o:title=""/>
                <o:lock v:ext="edit" rotation="t"/>
              </v:shape>
            </w:pict>
          </mc:Fallback>
        </mc:AlternateContent>
      </w:r>
    </w:p>
    <w:p w14:paraId="403AE479" w14:textId="77777777" w:rsidR="00303A33" w:rsidRDefault="00000000">
      <w:pPr>
        <w:contextualSpacing/>
        <w:jc w:val="center"/>
        <w:rPr>
          <w:sz w:val="18"/>
          <w:szCs w:val="18"/>
        </w:rPr>
      </w:pPr>
      <w:r>
        <w:rPr>
          <w:rFonts w:cs="Times New Roman"/>
          <w:sz w:val="18"/>
          <w:szCs w:val="18"/>
        </w:rPr>
        <w:t>Рисунок 1 – Результаты исследования доли мошенничества в зависимости от локации</w:t>
      </w:r>
    </w:p>
    <w:p w14:paraId="2E5BDF62" w14:textId="77777777" w:rsidR="00303A33" w:rsidRDefault="00000000">
      <w:pPr>
        <w:contextualSpacing/>
        <w:jc w:val="center"/>
      </w:pPr>
      <w:r>
        <w:rPr>
          <w:noProof/>
        </w:rPr>
        <mc:AlternateContent>
          <mc:Choice Requires="wpg">
            <w:drawing>
              <wp:inline distT="0" distB="0" distL="0" distR="0" wp14:anchorId="4F7EB71E" wp14:editId="4B43D550">
                <wp:extent cx="2964180" cy="126174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rotWithShape="1">
                        <a:blip r:embed="rId11"/>
                        <a:stretch/>
                      </pic:blipFill>
                      <pic:spPr bwMode="auto">
                        <a:xfrm>
                          <a:off x="0" y="0"/>
                          <a:ext cx="2964180" cy="126174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3.40pt;height:99.35pt;mso-wrap-distance-left:0.00pt;mso-wrap-distance-top:0.00pt;mso-wrap-distance-right:0.00pt;mso-wrap-distance-bottom:0.00pt;z-index:1;" stroked="false">
                <v:imagedata r:id="rId12" o:title=""/>
                <o:lock v:ext="edit" rotation="t"/>
              </v:shape>
            </w:pict>
          </mc:Fallback>
        </mc:AlternateContent>
      </w:r>
    </w:p>
    <w:p w14:paraId="15957BE2" w14:textId="77777777" w:rsidR="00303A33" w:rsidRDefault="00000000">
      <w:pPr>
        <w:contextualSpacing/>
        <w:jc w:val="center"/>
        <w:rPr>
          <w:sz w:val="18"/>
          <w:szCs w:val="18"/>
        </w:rPr>
      </w:pPr>
      <w:r>
        <w:rPr>
          <w:rFonts w:cs="Times New Roman"/>
          <w:sz w:val="18"/>
          <w:szCs w:val="18"/>
        </w:rPr>
        <w:t>Рисунок 2 – Результаты исследования доли мошенничества в зависимости от времени транзакции</w:t>
      </w:r>
    </w:p>
    <w:p w14:paraId="22BE594E" w14:textId="77777777" w:rsidR="00303A33" w:rsidRDefault="00000000">
      <w:pPr>
        <w:contextualSpacing/>
      </w:pPr>
      <w:r>
        <w:rPr>
          <w:rFonts w:cs="Times New Roman"/>
          <w:szCs w:val="20"/>
        </w:rPr>
        <w:t xml:space="preserve">В рамках статьи используется набор данных финансовых транзакций с сайта </w:t>
      </w:r>
      <w:proofErr w:type="spellStart"/>
      <w:r>
        <w:rPr>
          <w:rFonts w:cs="Times New Roman"/>
          <w:szCs w:val="20"/>
        </w:rPr>
        <w:t>kaggle</w:t>
      </w:r>
      <w:proofErr w:type="spellEnd"/>
      <w:r>
        <w:rPr>
          <w:rFonts w:cs="Times New Roman"/>
          <w:szCs w:val="20"/>
        </w:rPr>
        <w:t>.</w:t>
      </w:r>
      <w:r>
        <w:rPr>
          <w:rFonts w:cs="Times New Roman"/>
          <w:szCs w:val="20"/>
          <w:lang w:val="en-US"/>
        </w:rPr>
        <w:t>com</w:t>
      </w:r>
      <w:r>
        <w:rPr>
          <w:rFonts w:cs="Times New Roman"/>
          <w:szCs w:val="20"/>
        </w:rPr>
        <w:t xml:space="preserve">, содержащий информацию о проведенных операциях. Датасет включает в себя 50000 записей, каждая из которых соответствует одной транзакции. Отдельная операция описывается двадцатью пятью техническими и поведенческими признаками, включая целевую переменную, которая является меткой мошеннической операции. В наборе нет пропущенных значений, что упрощает этап обработки данных. </w:t>
      </w:r>
    </w:p>
    <w:p w14:paraId="7B74D4C2" w14:textId="77777777" w:rsidR="00303A33" w:rsidRDefault="00000000">
      <w:pPr>
        <w:contextualSpacing/>
      </w:pPr>
      <w:r>
        <w:rPr>
          <w:rFonts w:cs="Times New Roman"/>
          <w:szCs w:val="20"/>
        </w:rPr>
        <w:t>Таким образом, транзакция описывается следующими группами признаков:</w:t>
      </w:r>
    </w:p>
    <w:p w14:paraId="4C1304FF" w14:textId="77777777" w:rsidR="00303A33" w:rsidRDefault="00000000">
      <w:pPr>
        <w:numPr>
          <w:ilvl w:val="0"/>
          <w:numId w:val="1"/>
        </w:numPr>
        <w:contextualSpacing/>
      </w:pPr>
      <w:r>
        <w:rPr>
          <w:rFonts w:cs="Times New Roman"/>
          <w:szCs w:val="20"/>
        </w:rPr>
        <w:t>идентификационные признаки</w:t>
      </w:r>
      <w:r>
        <w:rPr>
          <w:rFonts w:cs="Times New Roman"/>
          <w:szCs w:val="20"/>
          <w:lang w:val="en-US"/>
        </w:rPr>
        <w:t>,</w:t>
      </w:r>
    </w:p>
    <w:p w14:paraId="10B3817B" w14:textId="77777777" w:rsidR="00303A33" w:rsidRDefault="00000000">
      <w:pPr>
        <w:numPr>
          <w:ilvl w:val="0"/>
          <w:numId w:val="1"/>
        </w:numPr>
        <w:contextualSpacing/>
      </w:pPr>
      <w:r>
        <w:rPr>
          <w:rFonts w:cs="Times New Roman"/>
          <w:szCs w:val="20"/>
        </w:rPr>
        <w:lastRenderedPageBreak/>
        <w:t>временные признаки</w:t>
      </w:r>
      <w:r>
        <w:rPr>
          <w:rFonts w:cs="Times New Roman"/>
          <w:szCs w:val="20"/>
          <w:lang w:val="en-US"/>
        </w:rPr>
        <w:t>,</w:t>
      </w:r>
    </w:p>
    <w:p w14:paraId="517B132A" w14:textId="77777777" w:rsidR="00303A33" w:rsidRDefault="00000000">
      <w:pPr>
        <w:numPr>
          <w:ilvl w:val="0"/>
          <w:numId w:val="1"/>
        </w:numPr>
        <w:contextualSpacing/>
      </w:pPr>
      <w:r>
        <w:rPr>
          <w:rFonts w:cs="Times New Roman"/>
          <w:szCs w:val="20"/>
        </w:rPr>
        <w:t>количественные признаки</w:t>
      </w:r>
      <w:r>
        <w:rPr>
          <w:rFonts w:cs="Times New Roman"/>
          <w:szCs w:val="20"/>
          <w:lang w:val="en-US"/>
        </w:rPr>
        <w:t>,</w:t>
      </w:r>
    </w:p>
    <w:p w14:paraId="799B1708" w14:textId="77777777" w:rsidR="00303A33" w:rsidRDefault="00000000">
      <w:pPr>
        <w:numPr>
          <w:ilvl w:val="0"/>
          <w:numId w:val="1"/>
        </w:numPr>
        <w:contextualSpacing/>
      </w:pPr>
      <w:r>
        <w:rPr>
          <w:rFonts w:cs="Times New Roman"/>
          <w:szCs w:val="20"/>
        </w:rPr>
        <w:t>категориальные признаки</w:t>
      </w:r>
      <w:r>
        <w:rPr>
          <w:rFonts w:cs="Times New Roman"/>
          <w:szCs w:val="20"/>
          <w:lang w:val="en-US"/>
        </w:rPr>
        <w:t>,</w:t>
      </w:r>
    </w:p>
    <w:p w14:paraId="4DCF99DF" w14:textId="77777777" w:rsidR="00303A33" w:rsidRDefault="00000000">
      <w:pPr>
        <w:numPr>
          <w:ilvl w:val="0"/>
          <w:numId w:val="1"/>
        </w:numPr>
        <w:contextualSpacing/>
      </w:pPr>
      <w:r>
        <w:rPr>
          <w:rFonts w:cs="Times New Roman"/>
          <w:szCs w:val="20"/>
        </w:rPr>
        <w:t>бинарные признаки</w:t>
      </w:r>
      <w:r>
        <w:rPr>
          <w:rFonts w:cs="Times New Roman"/>
          <w:szCs w:val="20"/>
          <w:lang w:val="en-US"/>
        </w:rPr>
        <w:t>.</w:t>
      </w:r>
    </w:p>
    <w:p w14:paraId="304EE58A" w14:textId="77777777" w:rsidR="00303A33" w:rsidRDefault="00000000">
      <w:pPr>
        <w:ind w:left="284" w:firstLine="709"/>
        <w:contextualSpacing/>
      </w:pPr>
      <w:r>
        <w:rPr>
          <w:rFonts w:cs="Times New Roman"/>
          <w:szCs w:val="20"/>
        </w:rPr>
        <w:t>В датасете представлены количественные (</w:t>
      </w:r>
      <w:proofErr w:type="spellStart"/>
      <w:r>
        <w:rPr>
          <w:rFonts w:cs="Times New Roman"/>
          <w:szCs w:val="20"/>
        </w:rPr>
        <w:t>Transaction_Amount</w:t>
      </w:r>
      <w:proofErr w:type="spellEnd"/>
      <w:r>
        <w:rPr>
          <w:rFonts w:cs="Times New Roman"/>
          <w:szCs w:val="20"/>
        </w:rPr>
        <w:t xml:space="preserve">, </w:t>
      </w:r>
      <w:proofErr w:type="spellStart"/>
      <w:r>
        <w:rPr>
          <w:rFonts w:cs="Times New Roman"/>
          <w:szCs w:val="20"/>
        </w:rPr>
        <w:t>Account_Balance</w:t>
      </w:r>
      <w:proofErr w:type="spellEnd"/>
      <w:r>
        <w:rPr>
          <w:rFonts w:cs="Times New Roman"/>
          <w:szCs w:val="20"/>
        </w:rPr>
        <w:t xml:space="preserve"> и т.д.) и категориальные (</w:t>
      </w:r>
      <w:proofErr w:type="spellStart"/>
      <w:r>
        <w:rPr>
          <w:rFonts w:cs="Times New Roman"/>
          <w:szCs w:val="20"/>
        </w:rPr>
        <w:t>Transaction_Type</w:t>
      </w:r>
      <w:proofErr w:type="spellEnd"/>
      <w:r>
        <w:rPr>
          <w:rFonts w:cs="Times New Roman"/>
          <w:szCs w:val="20"/>
        </w:rPr>
        <w:t xml:space="preserve">, </w:t>
      </w:r>
      <w:proofErr w:type="spellStart"/>
      <w:r>
        <w:rPr>
          <w:rFonts w:cs="Times New Roman"/>
          <w:szCs w:val="20"/>
        </w:rPr>
        <w:t>Merchant_Category</w:t>
      </w:r>
      <w:proofErr w:type="spellEnd"/>
      <w:r>
        <w:rPr>
          <w:rFonts w:cs="Times New Roman"/>
          <w:szCs w:val="20"/>
        </w:rPr>
        <w:t xml:space="preserve"> и т.д.) признаки, что требует применения методов предварительной обработки данных, таких как кодирование категориальных признаков и нормализация числовых переменных. Данные преобразования позволяют производить анализ различных аспектов транзакции. </w:t>
      </w:r>
    </w:p>
    <w:p w14:paraId="5DC8BDB1" w14:textId="77777777" w:rsidR="00303A33" w:rsidRDefault="00000000">
      <w:pPr>
        <w:contextualSpacing/>
      </w:pPr>
      <w:r>
        <w:rPr>
          <w:rFonts w:cs="Times New Roman"/>
          <w:szCs w:val="20"/>
        </w:rPr>
        <w:t>Для проведения исследования, признаки были сгруппированы в соответствии с их ролью в процессе выявления мошеннических операций.</w:t>
      </w:r>
    </w:p>
    <w:p w14:paraId="792211FA" w14:textId="77777777" w:rsidR="00303A33" w:rsidRDefault="00000000">
      <w:pPr>
        <w:pStyle w:val="affe"/>
        <w:numPr>
          <w:ilvl w:val="0"/>
          <w:numId w:val="4"/>
        </w:numPr>
      </w:pPr>
      <w:r>
        <w:rPr>
          <w:rFonts w:cs="Times New Roman"/>
          <w:szCs w:val="20"/>
        </w:rPr>
        <w:t>Транзакционные признаки описывают параметры конкретной финансовой операции без учёта информации о пользователе.</w:t>
      </w:r>
    </w:p>
    <w:p w14:paraId="2B18AC7E" w14:textId="77777777" w:rsidR="00303A33" w:rsidRDefault="00000000">
      <w:pPr>
        <w:pStyle w:val="affe"/>
        <w:numPr>
          <w:ilvl w:val="0"/>
          <w:numId w:val="4"/>
        </w:numPr>
      </w:pPr>
      <w:r>
        <w:rPr>
          <w:rFonts w:cs="Times New Roman"/>
          <w:szCs w:val="20"/>
        </w:rPr>
        <w:t>Поведенческие признаки указывают отклонения от обыкновенного/базового поведения пользователя.</w:t>
      </w:r>
    </w:p>
    <w:p w14:paraId="6C9E1D3C" w14:textId="77777777" w:rsidR="00303A33" w:rsidRDefault="00000000">
      <w:pPr>
        <w:pStyle w:val="affe"/>
        <w:numPr>
          <w:ilvl w:val="0"/>
          <w:numId w:val="4"/>
        </w:numPr>
      </w:pPr>
      <w:r>
        <w:rPr>
          <w:rFonts w:cs="Times New Roman"/>
          <w:szCs w:val="20"/>
        </w:rPr>
        <w:t>Контекстные признаки информируют об условиях выполнения операции.</w:t>
      </w:r>
    </w:p>
    <w:p w14:paraId="08D4813C" w14:textId="77777777" w:rsidR="00303A33" w:rsidRDefault="00000000">
      <w:pPr>
        <w:pStyle w:val="affe"/>
        <w:numPr>
          <w:ilvl w:val="0"/>
          <w:numId w:val="4"/>
        </w:numPr>
      </w:pPr>
      <w:r>
        <w:rPr>
          <w:rFonts w:cs="Times New Roman"/>
          <w:szCs w:val="20"/>
        </w:rPr>
        <w:t>Признаки возможного риска.</w:t>
      </w:r>
    </w:p>
    <w:p w14:paraId="5B6E86C7" w14:textId="77777777" w:rsidR="00303A33" w:rsidRDefault="00000000">
      <w:pPr>
        <w:pStyle w:val="affe"/>
        <w:numPr>
          <w:ilvl w:val="0"/>
          <w:numId w:val="3"/>
        </w:numPr>
      </w:pPr>
      <w:r>
        <w:rPr>
          <w:rFonts w:cs="Times New Roman"/>
          <w:szCs w:val="20"/>
        </w:rPr>
        <w:t>Целевая переменная</w:t>
      </w:r>
      <w:r>
        <w:rPr>
          <w:rFonts w:cs="Times New Roman"/>
          <w:i/>
          <w:iCs/>
          <w:szCs w:val="20"/>
        </w:rPr>
        <w:t xml:space="preserve">: </w:t>
      </w:r>
      <w:proofErr w:type="spellStart"/>
      <w:r>
        <w:rPr>
          <w:rFonts w:cs="Times New Roman"/>
          <w:i/>
          <w:iCs/>
          <w:szCs w:val="20"/>
        </w:rPr>
        <w:t>Fraud_Label</w:t>
      </w:r>
      <w:proofErr w:type="spellEnd"/>
      <w:r>
        <w:rPr>
          <w:rFonts w:cs="Times New Roman"/>
          <w:szCs w:val="20"/>
        </w:rPr>
        <w:t xml:space="preserve"> – бинарный индикатор (</w:t>
      </w:r>
      <w:proofErr w:type="spellStart"/>
      <w:r>
        <w:rPr>
          <w:rFonts w:cs="Times New Roman"/>
          <w:szCs w:val="20"/>
        </w:rPr>
        <w:t>Fraud</w:t>
      </w:r>
      <w:proofErr w:type="spellEnd"/>
      <w:r>
        <w:rPr>
          <w:rFonts w:cs="Times New Roman"/>
          <w:szCs w:val="20"/>
        </w:rPr>
        <w:t xml:space="preserve"> </w:t>
      </w:r>
      <w:r>
        <w:rPr>
          <w:rFonts w:cs="Times New Roman"/>
          <w:i/>
          <w:iCs/>
          <w:szCs w:val="20"/>
        </w:rPr>
        <w:t>—</w:t>
      </w:r>
      <w:r>
        <w:rPr>
          <w:rFonts w:cs="Times New Roman"/>
          <w:szCs w:val="20"/>
        </w:rPr>
        <w:t xml:space="preserve"> мошенническая транзакция, </w:t>
      </w:r>
      <w:proofErr w:type="spellStart"/>
      <w:r>
        <w:rPr>
          <w:rFonts w:cs="Times New Roman"/>
          <w:szCs w:val="20"/>
        </w:rPr>
        <w:t>Normal</w:t>
      </w:r>
      <w:proofErr w:type="spellEnd"/>
      <w:r>
        <w:rPr>
          <w:rFonts w:cs="Times New Roman"/>
          <w:szCs w:val="20"/>
        </w:rPr>
        <w:t xml:space="preserve"> </w:t>
      </w:r>
      <w:r>
        <w:rPr>
          <w:rFonts w:cs="Times New Roman"/>
          <w:i/>
          <w:iCs/>
          <w:szCs w:val="20"/>
        </w:rPr>
        <w:t>—</w:t>
      </w:r>
      <w:r>
        <w:rPr>
          <w:rFonts w:cs="Times New Roman"/>
          <w:szCs w:val="20"/>
        </w:rPr>
        <w:t xml:space="preserve"> легитимная транзакция), указывающий соответствует ли операция мошеннической или нет. Является зависимой переменной при построении модели классификации.</w:t>
      </w:r>
    </w:p>
    <w:p w14:paraId="3A357209" w14:textId="77777777" w:rsidR="00303A33" w:rsidRDefault="00000000">
      <w:r>
        <w:t xml:space="preserve">В наборе данных наблюдается выраженный дисбаланс классов: из 50 000 транзакций мошенническими являются 2 423, то есть около 5%. Поэтому обычная оценка </w:t>
      </w:r>
      <w:proofErr w:type="spellStart"/>
      <w:r>
        <w:t>accuracy</w:t>
      </w:r>
      <w:proofErr w:type="spellEnd"/>
      <w:r>
        <w:t xml:space="preserve"> не является достаточной метрикой качества. В задаче выявления мошенничества особенно важно снижать число ложноотрицательных результатов, поскольку пропущенная вредоносная операция приводит к финансовым потерям. При этом необходимо контролировать и ложноположительные срабатывания, так как ошибочная блокировка легитимной операции ухудшает клиентский опыт. По этой причине основной метрикой оптимизации выбрана характеристика ROC-AUC, а дополнительно анализируются оценки Precision, </w:t>
      </w:r>
      <w:proofErr w:type="spellStart"/>
      <w:r>
        <w:t>Recall</w:t>
      </w:r>
      <w:proofErr w:type="spellEnd"/>
      <w:r>
        <w:t xml:space="preserve"> и F1-score </w:t>
      </w:r>
      <w:bookmarkStart w:id="91" w:name="ZOTERO_BREF_byklomVVf2sC"/>
      <w:r>
        <w:rPr>
          <w:rFonts w:cs="Times New Roman"/>
        </w:rPr>
        <w:t>[6]</w:t>
      </w:r>
      <w:bookmarkEnd w:id="91"/>
      <w:r>
        <w:t>.</w:t>
      </w:r>
    </w:p>
    <w:p w14:paraId="2F6492C5" w14:textId="77777777" w:rsidR="00303A33" w:rsidRDefault="00000000">
      <w:pPr>
        <w:contextualSpacing/>
      </w:pPr>
      <w:r>
        <w:t xml:space="preserve">Задача исследования формулируется как бинарная классификация: по набору признаков транзакции необходимо определить вероятность её принадлежности к классу мошеннических операций. Целевая переменная </w:t>
      </w:r>
      <w:proofErr w:type="spellStart"/>
      <w:r>
        <w:rPr>
          <w:rFonts w:cs="Times New Roman"/>
          <w:i/>
          <w:iCs/>
          <w:szCs w:val="20"/>
        </w:rPr>
        <w:t>Fraud_label</w:t>
      </w:r>
      <w:proofErr w:type="spellEnd"/>
      <w:r>
        <w:t xml:space="preserve"> кодируется как 1 для мошеннической транзакции и 0 для легитимной.</w:t>
      </w:r>
    </w:p>
    <w:p w14:paraId="405F5EB1" w14:textId="77777777" w:rsidR="00303A33" w:rsidRDefault="00000000">
      <w:pPr>
        <w:contextualSpacing/>
        <w:rPr>
          <w:rFonts w:cs="Times New Roman"/>
          <w:szCs w:val="20"/>
        </w:rPr>
      </w:pPr>
      <w:r>
        <w:rPr>
          <w:rFonts w:cs="Times New Roman"/>
          <w:szCs w:val="20"/>
        </w:rPr>
        <w:lastRenderedPageBreak/>
        <w:t xml:space="preserve">На этапе предобработки были проверены пропущенные значения, удалены 4 записи без значения целевой переменной </w:t>
      </w:r>
      <w:proofErr w:type="spellStart"/>
      <w:r>
        <w:rPr>
          <w:rFonts w:cs="Times New Roman"/>
          <w:i/>
          <w:iCs/>
          <w:szCs w:val="20"/>
        </w:rPr>
        <w:t>Fraud_Label</w:t>
      </w:r>
      <w:proofErr w:type="spellEnd"/>
      <w:r>
        <w:rPr>
          <w:rFonts w:cs="Times New Roman"/>
          <w:szCs w:val="20"/>
        </w:rPr>
        <w:t xml:space="preserve">, а значения </w:t>
      </w:r>
      <w:proofErr w:type="spellStart"/>
      <w:r>
        <w:rPr>
          <w:rFonts w:cs="Times New Roman"/>
          <w:i/>
          <w:iCs/>
          <w:szCs w:val="20"/>
        </w:rPr>
        <w:t>Normal</w:t>
      </w:r>
      <w:proofErr w:type="spellEnd"/>
      <w:r>
        <w:rPr>
          <w:rFonts w:cs="Times New Roman"/>
          <w:szCs w:val="20"/>
        </w:rPr>
        <w:t xml:space="preserve"> и </w:t>
      </w:r>
      <w:proofErr w:type="spellStart"/>
      <w:r>
        <w:rPr>
          <w:rFonts w:cs="Times New Roman"/>
          <w:i/>
          <w:iCs/>
          <w:szCs w:val="20"/>
        </w:rPr>
        <w:t>Fraud</w:t>
      </w:r>
      <w:proofErr w:type="spellEnd"/>
      <w:r>
        <w:rPr>
          <w:rFonts w:cs="Times New Roman"/>
          <w:szCs w:val="20"/>
        </w:rPr>
        <w:t xml:space="preserve"> закодированы как 0 и 1. Признаки </w:t>
      </w:r>
      <w:proofErr w:type="spellStart"/>
      <w:r>
        <w:rPr>
          <w:rFonts w:cs="Times New Roman"/>
          <w:i/>
          <w:iCs/>
          <w:szCs w:val="20"/>
        </w:rPr>
        <w:t>Transaction_Date</w:t>
      </w:r>
      <w:proofErr w:type="spellEnd"/>
      <w:r>
        <w:rPr>
          <w:rFonts w:cs="Times New Roman"/>
          <w:szCs w:val="20"/>
        </w:rPr>
        <w:t xml:space="preserve"> и </w:t>
      </w:r>
      <w:proofErr w:type="spellStart"/>
      <w:r>
        <w:rPr>
          <w:rFonts w:cs="Times New Roman"/>
          <w:i/>
          <w:iCs/>
          <w:szCs w:val="20"/>
        </w:rPr>
        <w:t>Transaction_Time</w:t>
      </w:r>
      <w:proofErr w:type="spellEnd"/>
      <w:r>
        <w:rPr>
          <w:rFonts w:cs="Times New Roman"/>
          <w:szCs w:val="20"/>
        </w:rPr>
        <w:t xml:space="preserve"> были объединены в единый временной признак </w:t>
      </w:r>
      <w:proofErr w:type="spellStart"/>
      <w:r>
        <w:rPr>
          <w:rFonts w:cs="Times New Roman"/>
          <w:i/>
          <w:iCs/>
          <w:szCs w:val="20"/>
        </w:rPr>
        <w:t>Transaction_DateTime</w:t>
      </w:r>
      <w:proofErr w:type="spellEnd"/>
      <w:r>
        <w:rPr>
          <w:rFonts w:cs="Times New Roman"/>
          <w:szCs w:val="20"/>
        </w:rPr>
        <w:t>, после чего исходные столбцы даты и времени были исключены из набора данных.</w:t>
      </w:r>
    </w:p>
    <w:p w14:paraId="25C07EF3" w14:textId="77777777" w:rsidR="00303A33" w:rsidRDefault="00000000">
      <w:pPr>
        <w:contextualSpacing/>
        <w:rPr/>
      </w:pPr>
      <w:r>
        <w:t xml:space="preserve">Для повышения информативности данных были сформированы дополнительные признаки, отражающие временные, поведенческие и контекстные особенности транзакций. Из </w:t>
      </w:r>
      <w:proofErr w:type="spellStart"/>
      <w:r>
        <w:t>Transaction_DateTime</w:t>
      </w:r>
      <w:proofErr w:type="spellEnd"/>
      <w:r>
        <w:t xml:space="preserve"> были выделены </w:t>
      </w:r>
      <w:proofErr w:type="spellStart"/>
      <w:r>
        <w:t>hour</w:t>
      </w:r>
      <w:proofErr w:type="spellEnd"/>
      <w:r>
        <w:t xml:space="preserve"> — час совершения операции, </w:t>
      </w:r>
      <w:proofErr w:type="spellStart"/>
      <w:r>
        <w:t>day_of_week</w:t>
      </w:r>
      <w:proofErr w:type="spellEnd"/>
      <w:r>
        <w:t xml:space="preserve"> — день недели, </w:t>
      </w:r>
      <w:proofErr w:type="spellStart"/>
      <w:r>
        <w:t>is_night</w:t>
      </w:r>
      <w:proofErr w:type="spellEnd"/>
      <w:r>
        <w:t xml:space="preserve"> — признак ночной транзакции, и </w:t>
      </w:r>
      <w:proofErr w:type="spellStart"/>
      <w:r>
        <w:t>is_weekend</w:t>
      </w:r>
      <w:proofErr w:type="spellEnd"/>
      <w:r>
        <w:t xml:space="preserve"> — признак операции в выходной день.</w:t>
      </w:r>
    </w:p>
    <w:p w14:paraId="64D2F12A" w14:textId="77777777" w:rsidR="00303A33" w:rsidRDefault="00000000">
      <w:pPr>
        <w:contextualSpacing/>
        <w:rPr/>
      </w:pPr>
      <w:r>
        <w:t xml:space="preserve">Для анализа финансового поведения клиента рассчитаны </w:t>
      </w:r>
      <w:proofErr w:type="spellStart"/>
      <w:r>
        <w:t>amount_to_avg_ratio</w:t>
      </w:r>
      <w:proofErr w:type="spellEnd"/>
      <w:r>
        <w:t xml:space="preserve">, показывающий отношение суммы операции к средней сумме транзакций клиента, и </w:t>
      </w:r>
      <w:proofErr w:type="spellStart"/>
      <w:r>
        <w:t>amount_to_balance_ratio</w:t>
      </w:r>
      <w:proofErr w:type="spellEnd"/>
      <w:r>
        <w:t xml:space="preserve">, отражающий долю операции от текущего баланса счёта. Для выявления географических аномалий введён </w:t>
      </w:r>
      <w:proofErr w:type="spellStart"/>
      <w:r>
        <w:t>is_location_mismatch</w:t>
      </w:r>
      <w:proofErr w:type="spellEnd"/>
      <w:r>
        <w:t>, указывающий на нетипичную локацию операции.</w:t>
      </w:r>
    </w:p>
    <w:p w14:paraId="0B7ABDA4" w14:textId="77777777" w:rsidR="00303A33" w:rsidRDefault="00000000">
      <w:pPr>
        <w:contextualSpacing/>
        <w:rPr>
          <w:rFonts w:cs="Times New Roman"/>
        </w:rPr>
      </w:pPr>
      <w:r>
        <w:t xml:space="preserve">Также сформированы комбинированные признаки риска: </w:t>
      </w:r>
      <w:proofErr w:type="spellStart"/>
      <w:r>
        <w:t>intl_and_unusual</w:t>
      </w:r>
      <w:proofErr w:type="spellEnd"/>
      <w:r>
        <w:t xml:space="preserve"> — международная транзакция в необычных условиях, </w:t>
      </w:r>
      <w:proofErr w:type="spellStart"/>
      <w:r>
        <w:t>intl_or_unusual</w:t>
      </w:r>
      <w:proofErr w:type="spellEnd"/>
      <w:r>
        <w:t xml:space="preserve"> — наличие международного характера операции или необычного времени, </w:t>
      </w:r>
      <w:proofErr w:type="spellStart"/>
      <w:r>
        <w:t>new_merchant_and_intl</w:t>
      </w:r>
      <w:proofErr w:type="spellEnd"/>
      <w:r>
        <w:t xml:space="preserve"> — международная транзакция у нового получателя или продавца. На их основе рассчитан обобщённый показатель </w:t>
      </w:r>
      <w:proofErr w:type="spellStart"/>
      <w:r>
        <w:t>risk_score</w:t>
      </w:r>
      <w:proofErr w:type="spellEnd"/>
      <w:r>
        <w:t>, характеризующий совокупный уровень риска транзакции.</w:t>
      </w:r>
    </w:p>
    <w:p w14:paraId="7EC9E6D6" w14:textId="77777777" w:rsidR="00303A33" w:rsidRDefault="00000000">
      <w:pPr>
        <w:contextualSpacing/>
        <w:rPr>
          <w:rFonts w:cs="Times New Roman"/>
        </w:rPr>
      </w:pPr>
      <w:r>
        <w:rPr>
          <w:rFonts w:cs="Times New Roman"/>
          <w:szCs w:val="20"/>
        </w:rPr>
        <w:t xml:space="preserve">Идентификационные признаки </w:t>
      </w:r>
      <w:r>
        <w:rPr>
          <w:rFonts w:cs="Times New Roman"/>
          <w:i/>
          <w:iCs/>
          <w:szCs w:val="20"/>
          <w:lang w:val="en-US"/>
        </w:rPr>
        <w:t>Customer</w:t>
      </w:r>
      <w:r>
        <w:rPr>
          <w:rFonts w:cs="Times New Roman"/>
          <w:i/>
          <w:iCs/>
          <w:szCs w:val="20"/>
        </w:rPr>
        <w:t>_</w:t>
      </w:r>
      <w:r>
        <w:rPr>
          <w:rFonts w:cs="Times New Roman"/>
          <w:i/>
          <w:iCs/>
          <w:szCs w:val="20"/>
          <w:lang w:val="en-US"/>
        </w:rPr>
        <w:t>ID</w:t>
      </w:r>
      <w:r>
        <w:rPr>
          <w:rFonts w:cs="Times New Roman"/>
          <w:i/>
          <w:iCs/>
          <w:szCs w:val="20"/>
        </w:rPr>
        <w:t xml:space="preserve">, </w:t>
      </w:r>
      <w:r>
        <w:rPr>
          <w:rFonts w:cs="Times New Roman"/>
          <w:i/>
          <w:iCs/>
          <w:szCs w:val="20"/>
          <w:lang w:val="en-US"/>
        </w:rPr>
        <w:t>Merchant</w:t>
      </w:r>
      <w:r>
        <w:rPr>
          <w:rFonts w:cs="Times New Roman"/>
          <w:i/>
          <w:iCs/>
          <w:szCs w:val="20"/>
        </w:rPr>
        <w:t>_</w:t>
      </w:r>
      <w:r>
        <w:rPr>
          <w:rFonts w:cs="Times New Roman"/>
          <w:i/>
          <w:iCs/>
          <w:szCs w:val="20"/>
          <w:lang w:val="en-US"/>
        </w:rPr>
        <w:t>ID</w:t>
      </w:r>
      <w:r>
        <w:rPr>
          <w:rFonts w:cs="Times New Roman"/>
          <w:i/>
          <w:iCs/>
          <w:szCs w:val="20"/>
        </w:rPr>
        <w:t xml:space="preserve">, </w:t>
      </w:r>
      <w:r>
        <w:rPr>
          <w:rFonts w:cs="Times New Roman"/>
          <w:i/>
          <w:iCs/>
          <w:szCs w:val="20"/>
          <w:lang w:val="en-US"/>
        </w:rPr>
        <w:t>Device</w:t>
      </w:r>
      <w:r>
        <w:rPr>
          <w:rFonts w:cs="Times New Roman"/>
          <w:i/>
          <w:iCs/>
          <w:szCs w:val="20"/>
        </w:rPr>
        <w:t>_</w:t>
      </w:r>
      <w:r>
        <w:rPr>
          <w:rFonts w:cs="Times New Roman"/>
          <w:i/>
          <w:iCs/>
          <w:szCs w:val="20"/>
          <w:lang w:val="en-US"/>
        </w:rPr>
        <w:t>ID</w:t>
      </w:r>
      <w:r>
        <w:rPr>
          <w:rFonts w:cs="Times New Roman"/>
          <w:i/>
          <w:iCs/>
          <w:szCs w:val="20"/>
        </w:rPr>
        <w:t xml:space="preserve"> </w:t>
      </w:r>
      <w:r>
        <w:rPr>
          <w:rFonts w:cs="Times New Roman"/>
          <w:szCs w:val="20"/>
        </w:rPr>
        <w:t>и</w:t>
      </w:r>
      <w:r>
        <w:rPr>
          <w:rFonts w:cs="Times New Roman"/>
          <w:i/>
          <w:iCs/>
          <w:szCs w:val="20"/>
        </w:rPr>
        <w:t xml:space="preserve"> </w:t>
      </w:r>
      <w:r>
        <w:rPr>
          <w:rFonts w:cs="Times New Roman"/>
          <w:i/>
          <w:iCs/>
          <w:szCs w:val="20"/>
          <w:lang w:val="en-US"/>
        </w:rPr>
        <w:t>Transaction</w:t>
      </w:r>
      <w:r>
        <w:rPr>
          <w:rFonts w:cs="Times New Roman"/>
          <w:i/>
          <w:iCs/>
          <w:szCs w:val="20"/>
        </w:rPr>
        <w:t>_</w:t>
      </w:r>
      <w:r>
        <w:rPr>
          <w:rFonts w:cs="Times New Roman"/>
          <w:i/>
          <w:iCs/>
          <w:szCs w:val="20"/>
          <w:lang w:val="en-US"/>
        </w:rPr>
        <w:t>ID</w:t>
      </w:r>
      <w:r>
        <w:rPr>
          <w:rFonts w:cs="Times New Roman"/>
          <w:szCs w:val="20"/>
        </w:rPr>
        <w:t xml:space="preserve"> были исключены, поскольку содержали большое число уникальных значений и могли привести к запоминанию объектов вместо выявления общих закономерностей.</w:t>
      </w:r>
    </w:p>
    <w:p w14:paraId="22A98AAB" w14:textId="77777777" w:rsidR="00303A33" w:rsidRDefault="00000000">
      <w:pPr>
        <w:rPr>
          <w:rFonts w:cs="Times New Roman"/>
          <w:szCs w:val="20"/>
        </w:rPr>
      </w:pPr>
      <w:r>
        <w:rPr>
          <w:rFonts w:cs="Times New Roman"/>
          <w:szCs w:val="20"/>
        </w:rPr>
        <w:t xml:space="preserve">После удаления идентификационных признаков данные были разделены на обучающую и тестовую выборки в пропорции 80/20 со стратификацией по целевой переменной. Для линейных моделей применялись масштабирование числовых признаков и </w:t>
      </w:r>
      <w:proofErr w:type="spellStart"/>
      <w:r>
        <w:rPr>
          <w:rFonts w:cs="Times New Roman"/>
          <w:i/>
          <w:iCs/>
          <w:szCs w:val="20"/>
        </w:rPr>
        <w:t>one-hot</w:t>
      </w:r>
      <w:proofErr w:type="spellEnd"/>
      <w:r>
        <w:rPr>
          <w:rFonts w:cs="Times New Roman"/>
          <w:i/>
          <w:iCs/>
          <w:szCs w:val="20"/>
        </w:rPr>
        <w:t xml:space="preserve"> </w:t>
      </w:r>
      <w:proofErr w:type="spellStart"/>
      <w:r>
        <w:rPr>
          <w:rFonts w:cs="Times New Roman"/>
          <w:i/>
          <w:iCs/>
          <w:szCs w:val="20"/>
        </w:rPr>
        <w:t>encoding</w:t>
      </w:r>
      <w:proofErr w:type="spellEnd"/>
      <w:r>
        <w:rPr>
          <w:rFonts w:cs="Times New Roman"/>
          <w:szCs w:val="20"/>
        </w:rPr>
        <w:t xml:space="preserve"> категориальных переменных. Для древовидных моделей использовалось порядковое кодирование категориальных признаков без масштабирования числовых переменных.</w:t>
      </w:r>
    </w:p>
    <w:p w14:paraId="5D397D63" w14:textId="77777777" w:rsidR="00303A33" w:rsidRDefault="00000000">
      <w:pPr>
        <w:rPr>
          <w:rFonts w:cs="Times New Roman"/>
          <w:szCs w:val="20"/>
        </w:rPr>
      </w:pPr>
      <w:r>
        <w:rPr>
          <w:rFonts w:cs="Times New Roman"/>
          <w:szCs w:val="20"/>
        </w:rPr>
        <w:t xml:space="preserve">Для оценки качества использовались метрики </w:t>
      </w:r>
      <w:r>
        <w:rPr>
          <w:rFonts w:cs="Times New Roman"/>
          <w:i/>
          <w:iCs/>
          <w:szCs w:val="20"/>
        </w:rPr>
        <w:t xml:space="preserve">Precision, </w:t>
      </w:r>
      <w:proofErr w:type="spellStart"/>
      <w:r>
        <w:rPr>
          <w:rFonts w:cs="Times New Roman"/>
          <w:i/>
          <w:iCs/>
          <w:szCs w:val="20"/>
        </w:rPr>
        <w:t>Recall</w:t>
      </w:r>
      <w:proofErr w:type="spellEnd"/>
      <w:r>
        <w:rPr>
          <w:rFonts w:cs="Times New Roman"/>
          <w:i/>
          <w:iCs/>
          <w:szCs w:val="20"/>
        </w:rPr>
        <w:t>, F1-score</w:t>
      </w:r>
      <w:r>
        <w:rPr>
          <w:rFonts w:cs="Times New Roman"/>
          <w:szCs w:val="20"/>
        </w:rPr>
        <w:t xml:space="preserve"> и </w:t>
      </w:r>
      <w:r>
        <w:rPr>
          <w:rFonts w:cs="Times New Roman"/>
          <w:i/>
          <w:iCs/>
          <w:szCs w:val="20"/>
        </w:rPr>
        <w:t xml:space="preserve">ROC-AUC </w:t>
      </w:r>
      <w:r>
        <w:rPr>
          <w:rFonts w:cs="Times New Roman"/>
          <w:szCs w:val="20"/>
        </w:rPr>
        <w:t xml:space="preserve">[5]. Precision показывает долю действительно мошеннических операций среди всех операций, отмеченных моделью как мошеннические. </w:t>
      </w:r>
      <w:proofErr w:type="spellStart"/>
      <w:r>
        <w:rPr>
          <w:rFonts w:cs="Times New Roman"/>
          <w:i/>
          <w:iCs/>
          <w:szCs w:val="20"/>
        </w:rPr>
        <w:t>Recall</w:t>
      </w:r>
      <w:proofErr w:type="spellEnd"/>
      <w:r>
        <w:rPr>
          <w:rFonts w:cs="Times New Roman"/>
          <w:szCs w:val="20"/>
        </w:rPr>
        <w:t xml:space="preserve"> отражает способность модели находить реальные мошеннические транзакции. </w:t>
      </w:r>
      <w:r>
        <w:rPr>
          <w:rFonts w:cs="Times New Roman"/>
          <w:i/>
          <w:iCs/>
          <w:szCs w:val="20"/>
        </w:rPr>
        <w:t>F1-score</w:t>
      </w:r>
      <w:r>
        <w:rPr>
          <w:rFonts w:cs="Times New Roman"/>
          <w:szCs w:val="20"/>
        </w:rPr>
        <w:t xml:space="preserve"> позволяет оценить баланс между </w:t>
      </w:r>
      <w:r>
        <w:rPr>
          <w:rFonts w:cs="Times New Roman"/>
          <w:i/>
          <w:iCs/>
          <w:szCs w:val="20"/>
        </w:rPr>
        <w:t xml:space="preserve">Precision </w:t>
      </w:r>
      <w:r>
        <w:rPr>
          <w:rFonts w:cs="Times New Roman"/>
          <w:szCs w:val="20"/>
        </w:rPr>
        <w:t>и</w:t>
      </w:r>
      <w:r>
        <w:rPr>
          <w:rFonts w:cs="Times New Roman"/>
          <w:i/>
          <w:iCs/>
          <w:szCs w:val="20"/>
        </w:rPr>
        <w:t xml:space="preserve"> </w:t>
      </w:r>
      <w:proofErr w:type="spellStart"/>
      <w:r>
        <w:rPr>
          <w:rFonts w:cs="Times New Roman"/>
          <w:i/>
          <w:iCs/>
          <w:szCs w:val="20"/>
        </w:rPr>
        <w:t>Recall</w:t>
      </w:r>
      <w:proofErr w:type="spellEnd"/>
      <w:r>
        <w:rPr>
          <w:rFonts w:cs="Times New Roman"/>
          <w:szCs w:val="20"/>
        </w:rPr>
        <w:t xml:space="preserve">. Основной метрикой выбрана </w:t>
      </w:r>
      <w:r>
        <w:rPr>
          <w:rFonts w:cs="Times New Roman"/>
          <w:i/>
          <w:iCs/>
          <w:szCs w:val="20"/>
        </w:rPr>
        <w:t>ROC-AUC</w:t>
      </w:r>
      <w:r>
        <w:rPr>
          <w:rFonts w:cs="Times New Roman"/>
          <w:szCs w:val="20"/>
        </w:rPr>
        <w:t xml:space="preserve">, поскольку </w:t>
      </w:r>
      <w:r>
        <w:rPr>
          <w:rFonts w:cs="Times New Roman"/>
          <w:szCs w:val="20"/>
        </w:rPr>
        <w:lastRenderedPageBreak/>
        <w:t xml:space="preserve">она показывает способность модели разделять мошеннические и легитимные операции при разных порогах классификации и подходит для несбалансированных данных </w:t>
      </w:r>
      <w:bookmarkStart w:id="96" w:name="ZOTERO_BREF_3JYVMnvhz0Ke"/>
      <w:r>
        <w:rPr>
          <w:rFonts w:cs="Times New Roman"/>
        </w:rPr>
        <w:t>[1; 3]</w:t>
      </w:r>
      <w:bookmarkEnd w:id="96"/>
      <w:r>
        <w:t>.</w:t>
      </w:r>
    </w:p>
    <w:p w14:paraId="018C32CF" w14:textId="77777777" w:rsidR="00303A33" w:rsidRDefault="00000000">
      <w:r>
        <w:rPr>
          <w:rFonts w:cs="Times New Roman"/>
          <w:szCs w:val="20"/>
        </w:rPr>
        <w:t xml:space="preserve">Перед обучением модели был проведен анализ получившихся данных. Была рассчитана корреляция числовых признаков с целевой переменной </w:t>
      </w:r>
      <w:proofErr w:type="spellStart"/>
      <w:r>
        <w:rPr>
          <w:rFonts w:cs="Times New Roman"/>
          <w:i/>
          <w:iCs/>
          <w:szCs w:val="20"/>
        </w:rPr>
        <w:t>Fraud_label</w:t>
      </w:r>
      <w:proofErr w:type="spellEnd"/>
      <w:r>
        <w:rPr>
          <w:rFonts w:cs="Times New Roman"/>
          <w:i/>
          <w:iCs/>
          <w:szCs w:val="20"/>
        </w:rPr>
        <w:t xml:space="preserve"> </w:t>
      </w:r>
      <w:r>
        <w:rPr>
          <w:rFonts w:cs="Times New Roman"/>
          <w:szCs w:val="20"/>
        </w:rPr>
        <w:t>для выявления наиболее информативных из них. Также оценивалось влияние категориальных признаков на вероятность мошенничества путем расчета доли мошеннических операций в разрезе различных категорий.</w:t>
      </w:r>
    </w:p>
    <w:p w14:paraId="7A85DBA1" w14:textId="77777777" w:rsidR="00303A33" w:rsidRDefault="00000000">
      <w:r>
        <w:rPr>
          <w:rFonts w:cs="Times New Roman"/>
          <w:szCs w:val="20"/>
        </w:rPr>
        <w:t xml:space="preserve">В рамках данного исследования для решения задачи бинарной классификации были использованы четыре алгоритма: логистическая регрессия, случайный лес, градиентный </w:t>
      </w:r>
      <w:proofErr w:type="spellStart"/>
      <w:r>
        <w:rPr>
          <w:rFonts w:cs="Times New Roman"/>
          <w:szCs w:val="20"/>
        </w:rPr>
        <w:t>бустинг</w:t>
      </w:r>
      <w:proofErr w:type="spellEnd"/>
      <w:r>
        <w:rPr>
          <w:rFonts w:cs="Times New Roman"/>
          <w:szCs w:val="20"/>
        </w:rPr>
        <w:t xml:space="preserve"> (</w:t>
      </w:r>
      <w:proofErr w:type="spellStart"/>
      <w:r>
        <w:rPr>
          <w:rFonts w:cs="Times New Roman"/>
          <w:szCs w:val="20"/>
        </w:rPr>
        <w:t>HistGradientBoosting</w:t>
      </w:r>
      <w:proofErr w:type="spellEnd"/>
      <w:r>
        <w:rPr>
          <w:rFonts w:cs="Times New Roman"/>
          <w:szCs w:val="20"/>
        </w:rPr>
        <w:t xml:space="preserve">) и </w:t>
      </w:r>
      <w:proofErr w:type="spellStart"/>
      <w:r>
        <w:rPr>
          <w:rFonts w:cs="Times New Roman"/>
          <w:szCs w:val="20"/>
        </w:rPr>
        <w:t>стекинг</w:t>
      </w:r>
      <w:proofErr w:type="spellEnd"/>
      <w:r>
        <w:rPr>
          <w:rFonts w:cs="Times New Roman"/>
          <w:szCs w:val="20"/>
        </w:rPr>
        <w:t>-ансамбль (</w:t>
      </w:r>
      <w:proofErr w:type="spellStart"/>
      <w:r>
        <w:rPr>
          <w:rFonts w:cs="Times New Roman"/>
          <w:szCs w:val="20"/>
        </w:rPr>
        <w:t>StackingClassifier</w:t>
      </w:r>
      <w:proofErr w:type="spellEnd"/>
      <w:r>
        <w:rPr>
          <w:rFonts w:cs="Times New Roman"/>
          <w:szCs w:val="20"/>
        </w:rPr>
        <w:t>). Каждый из них основан на своих принципах и обладает своими особенностями</w:t>
      </w:r>
      <w:r>
        <w:t xml:space="preserve"> </w:t>
      </w:r>
      <w:bookmarkStart w:id="97" w:name="ZOTERO_BREF_jC159brezzVz"/>
      <w:r>
        <w:rPr>
          <w:rFonts w:cs="Times New Roman"/>
        </w:rPr>
        <w:t>[8]</w:t>
      </w:r>
      <w:bookmarkEnd w:id="97"/>
      <w:r>
        <w:rPr>
          <w:rFonts w:cs="Times New Roman"/>
          <w:szCs w:val="20"/>
        </w:rPr>
        <w:t>.</w:t>
      </w:r>
    </w:p>
    <w:p w14:paraId="7C47A4AD" w14:textId="77777777" w:rsidR="00303A33" w:rsidRDefault="00000000">
      <w:pPr>
        <w:pStyle w:val="affe"/>
        <w:numPr>
          <w:ilvl w:val="0"/>
          <w:numId w:val="5"/>
        </w:numPr>
        <w:rPr>
          <w:rFonts w:cs="Times New Roman"/>
          <w:szCs w:val="20"/>
        </w:rPr>
      </w:pPr>
      <w:r>
        <w:rPr>
          <w:rFonts w:cs="Times New Roman"/>
          <w:b/>
          <w:bCs/>
          <w:szCs w:val="20"/>
        </w:rPr>
        <w:t xml:space="preserve">Логистическая регрессия: </w:t>
      </w:r>
      <w:r>
        <w:rPr>
          <w:rFonts w:cs="Times New Roman"/>
          <w:szCs w:val="20"/>
        </w:rPr>
        <w:t>является базовым методом бинарной классификации, основанным на линейной комбинации признаков. Модель оценивает вероятность принадлежности объекта к положительному классу с использованием логистической (</w:t>
      </w:r>
      <w:proofErr w:type="spellStart"/>
      <w:r>
        <w:rPr>
          <w:rFonts w:cs="Times New Roman"/>
          <w:szCs w:val="20"/>
        </w:rPr>
        <w:t>сигмоидной</w:t>
      </w:r>
      <w:proofErr w:type="spellEnd"/>
      <w:r>
        <w:rPr>
          <w:rFonts w:cs="Times New Roman"/>
          <w:szCs w:val="20"/>
        </w:rPr>
        <w:t xml:space="preserve">) функции </w:t>
      </w:r>
      <w:r>
        <w:rPr>
          <w:rFonts w:cs="Times New Roman"/>
        </w:rPr>
        <w:t>[6]</w:t>
      </w:r>
      <w:r>
        <w:rPr>
          <w:rFonts w:cs="Times New Roman"/>
          <w:szCs w:val="20"/>
        </w:rPr>
        <w:t>.</w:t>
      </w:r>
    </w:p>
    <w:p w14:paraId="63856985" w14:textId="77777777" w:rsidR="00303A33" w:rsidRDefault="00000000">
      <w:pPr>
        <w:spacing w:line="360" w:lineRule="auto"/>
        <w:ind w:firstLine="709"/>
        <w:jc w:val="center"/>
      </w:pPr>
      <m:oMathPara>
        <m:oMathParaPr>
          <m:jc m:val="center"/>
        </m:oMathParaPr>
        <m:oMath>
          <m:r>
            <w:rPr>
              <w:rFonts w:ascii="Cambria Math" w:hAnsi="Cambria Math"/>
            </w:rPr>
            <m:t>P(y</m:t>
          </m:r>
          <m:r>
            <m:rPr>
              <m:lit/>
              <m:nor/>
            </m:rPr>
            <m:t>=</m:t>
          </m:r>
          <m:r>
            <w:rPr>
              <w:rFonts w:ascii="Cambria Math" w:hAnsi="Cambria Math"/>
            </w:rPr>
            <m:t>1</m:t>
          </m:r>
          <m:r>
            <m:rPr>
              <m:lit/>
              <m:nor/>
            </m:rPr>
            <m:t xml:space="preserve"> | </m:t>
          </m:r>
          <m:r>
            <w:rPr>
              <w:rFonts w:ascii="Cambria Math" w:hAnsi="Cambria Math"/>
            </w:rPr>
            <m:t>X)</m:t>
          </m:r>
          <m:r>
            <m:rPr>
              <m:lit/>
              <m:nor/>
            </m:rPr>
            <m:t xml:space="preserve"> =</m:t>
          </m:r>
          <m:f>
            <m:fPr>
              <m:ctrlPr>
                <w:rPr>
                  <w:rFonts w:ascii="Cambria Math" w:hAnsi="Cambria Math"/>
                </w:rPr>
              </m:ctrlPr>
            </m:fPr>
            <m:num>
              <m:r>
                <w:rPr>
                  <w:rFonts w:ascii="Cambria Math" w:hAnsi="Cambria Math"/>
                </w:rPr>
                <m:t>1</m:t>
              </m:r>
            </m:num>
            <m:den>
              <m:r>
                <w:rPr>
                  <w:rFonts w:ascii="Cambria Math" w:hAnsi="Cambria Math"/>
                </w:rPr>
                <m:t>1</m:t>
              </m:r>
              <m:r>
                <m:rPr>
                  <m:lit/>
                  <m:nor/>
                </m:rPr>
                <m:t>+</m:t>
              </m:r>
              <m:sSup>
                <m:sSupPr>
                  <m:ctrlPr>
                    <w:rPr>
                      <w:rFonts w:ascii="Cambria Math" w:hAnsi="Cambria Math"/>
                    </w:rPr>
                  </m:ctrlPr>
                </m:sSupPr>
                <m:e>
                  <m:r>
                    <w:rPr>
                      <w:rFonts w:ascii="Cambria Math" w:hAnsi="Cambria Math"/>
                    </w:rPr>
                    <m:t>e</m:t>
                  </m:r>
                </m:e>
                <m:sup>
                  <m:r>
                    <m:rPr>
                      <m:lit/>
                      <m:nor/>
                    </m:rPr>
                    <m:t>-</m:t>
                  </m:r>
                  <m:d>
                    <m:dPr>
                      <m:ctrlPr>
                        <w:rPr>
                          <w:rFonts w:ascii="Cambria Math" w:hAnsi="Cambria Math"/>
                        </w:rPr>
                      </m:ctrlPr>
                    </m:dPr>
                    <m:e>
                      <m:sSup>
                        <m:sSupPr>
                          <m:ctrlPr>
                            <w:rPr>
                              <w:rFonts w:ascii="Cambria Math" w:hAnsi="Cambria Math"/>
                            </w:rPr>
                          </m:ctrlPr>
                        </m:sSupPr>
                        <m:e>
                          <m:r>
                            <w:rPr>
                              <w:rFonts w:ascii="Cambria Math" w:hAnsi="Cambria Math"/>
                            </w:rPr>
                            <m:t>ω</m:t>
                          </m:r>
                        </m:e>
                        <m:sup>
                          <m:r>
                            <w:rPr>
                              <w:rFonts w:ascii="Cambria Math" w:hAnsi="Cambria Math"/>
                            </w:rPr>
                            <m:t>T</m:t>
                          </m:r>
                        </m:sup>
                      </m:sSup>
                      <m:r>
                        <w:rPr>
                          <w:rFonts w:ascii="Cambria Math" w:hAnsi="Cambria Math"/>
                        </w:rPr>
                        <m:t>X</m:t>
                      </m:r>
                      <m:r>
                        <m:rPr>
                          <m:lit/>
                          <m:nor/>
                        </m:rPr>
                        <m:t>+</m:t>
                      </m:r>
                      <m:r>
                        <w:rPr>
                          <w:rFonts w:ascii="Cambria Math" w:hAnsi="Cambria Math"/>
                        </w:rPr>
                        <m:t>b</m:t>
                      </m:r>
                    </m:e>
                  </m:d>
                </m:sup>
              </m:sSup>
            </m:den>
          </m:f>
          <m:r>
            <w:rPr>
              <w:rFonts w:ascii="Cambria Math" w:hAnsi="Cambria Math"/>
            </w:rPr>
            <m:t>,</m:t>
          </m:r>
        </m:oMath>
      </m:oMathPara>
    </w:p>
    <w:p w14:paraId="102E0A15" w14:textId="77777777" w:rsidR="00303A33" w:rsidRDefault="00000000">
      <w:pPr>
        <w:spacing w:line="360" w:lineRule="auto"/>
        <w:ind w:firstLine="1135"/>
      </w:pPr>
      <w:r>
        <w:rPr>
          <w:rFonts w:cs="Times New Roman"/>
          <w:szCs w:val="20"/>
        </w:rPr>
        <w:t xml:space="preserve">где </w:t>
      </w:r>
      <m:oMath>
        <m:r>
          <w:rPr>
            <w:rFonts w:ascii="Cambria Math" w:hAnsi="Cambria Math"/>
          </w:rPr>
          <m:t>ω</m:t>
        </m:r>
      </m:oMath>
      <w:r>
        <w:rPr>
          <w:rFonts w:cs="Times New Roman"/>
          <w:szCs w:val="20"/>
        </w:rPr>
        <w:t xml:space="preserve"> — вектор весов признаков, b — смещение.</w:t>
      </w:r>
    </w:p>
    <w:p w14:paraId="51457748" w14:textId="77777777" w:rsidR="00303A33" w:rsidRDefault="00000000">
      <w:pPr>
        <w:spacing w:line="360" w:lineRule="auto"/>
        <w:ind w:left="720" w:firstLine="709"/>
      </w:pPr>
      <w:r>
        <w:rPr>
          <w:rFonts w:cs="Times New Roman"/>
          <w:szCs w:val="20"/>
        </w:rPr>
        <w:t>Основные особенности метода:</w:t>
      </w:r>
    </w:p>
    <w:p w14:paraId="70FDF313" w14:textId="77777777" w:rsidR="00303A33" w:rsidRDefault="00000000">
      <w:pPr>
        <w:pStyle w:val="affe"/>
        <w:numPr>
          <w:ilvl w:val="1"/>
          <w:numId w:val="15"/>
        </w:numPr>
      </w:pPr>
      <w:r>
        <w:t>интерпретируемость результатов;</w:t>
      </w:r>
    </w:p>
    <w:p w14:paraId="59630BA6" w14:textId="77777777" w:rsidR="00303A33" w:rsidRDefault="00000000">
      <w:pPr>
        <w:pStyle w:val="affe"/>
        <w:numPr>
          <w:ilvl w:val="1"/>
          <w:numId w:val="15"/>
        </w:numPr>
      </w:pPr>
      <w:r>
        <w:t>высокая скорость обучения;</w:t>
      </w:r>
    </w:p>
    <w:p w14:paraId="47C2C0F0" w14:textId="77777777" w:rsidR="00303A33" w:rsidRDefault="00000000">
      <w:pPr>
        <w:pStyle w:val="affe"/>
        <w:numPr>
          <w:ilvl w:val="1"/>
          <w:numId w:val="15"/>
        </w:numPr>
      </w:pPr>
      <w:r>
        <w:t>ограничение линейной зависимостью между признаками целевой переменной.</w:t>
      </w:r>
    </w:p>
    <w:p w14:paraId="157084AB" w14:textId="77777777" w:rsidR="00303A33" w:rsidRDefault="00000000">
      <w:pPr>
        <w:ind w:left="1440"/>
      </w:pPr>
      <w:r>
        <w:t>Логистическая регрессия хорошо работает в задачах, где зависимости между признаками и целевой переменной близки к линейным.</w:t>
      </w:r>
    </w:p>
    <w:p w14:paraId="189E408E" w14:textId="77777777" w:rsidR="00303A33" w:rsidRDefault="00000000">
      <w:pPr>
        <w:pStyle w:val="affe"/>
        <w:numPr>
          <w:ilvl w:val="0"/>
          <w:numId w:val="5"/>
        </w:numPr>
      </w:pPr>
      <w:r>
        <w:rPr>
          <w:rFonts w:cs="Times New Roman"/>
          <w:b/>
          <w:bCs/>
          <w:szCs w:val="20"/>
        </w:rPr>
        <w:t>Случайный лес:</w:t>
      </w:r>
      <w:r>
        <w:rPr>
          <w:rFonts w:cs="Times New Roman"/>
          <w:szCs w:val="20"/>
        </w:rPr>
        <w:t xml:space="preserve"> ансамблевый метод, основанный на построении множества деревьев решений. Каждое дерево обучается на случайной </w:t>
      </w:r>
      <w:proofErr w:type="spellStart"/>
      <w:r>
        <w:rPr>
          <w:rFonts w:cs="Times New Roman"/>
          <w:szCs w:val="20"/>
        </w:rPr>
        <w:t>подвыборке</w:t>
      </w:r>
      <w:proofErr w:type="spellEnd"/>
      <w:r>
        <w:rPr>
          <w:rFonts w:cs="Times New Roman"/>
          <w:szCs w:val="20"/>
        </w:rPr>
        <w:t xml:space="preserve"> данных и использует случайное подмножество признаков. Окончательный прогноз формируется путем агрегирования результатов всех деревьев (например, путем голосования) </w:t>
      </w:r>
      <w:bookmarkStart w:id="98" w:name="ZOTERO_BREF_dZXde97pOUz6"/>
      <w:r>
        <w:rPr>
          <w:rFonts w:cs="Times New Roman"/>
        </w:rPr>
        <w:t>[2]</w:t>
      </w:r>
      <w:bookmarkEnd w:id="98"/>
      <w:r>
        <w:rPr>
          <w:rFonts w:cs="Times New Roman"/>
          <w:szCs w:val="20"/>
        </w:rPr>
        <w:t>.</w:t>
      </w:r>
      <w:r>
        <w:rPr>
          <w:rFonts w:cs="Times New Roman"/>
          <w:szCs w:val="20"/>
        </w:rPr>
        <w:br w:type="textWrapping" w:clear="all"/>
        <w:t>Основные характеристики метода:</w:t>
      </w:r>
    </w:p>
    <w:p w14:paraId="0A1F566A" w14:textId="77777777" w:rsidR="00303A33" w:rsidRDefault="00000000">
      <w:pPr>
        <w:pStyle w:val="affe"/>
        <w:numPr>
          <w:ilvl w:val="1"/>
          <w:numId w:val="5"/>
        </w:numPr>
      </w:pPr>
      <w:r>
        <w:t>возможность моделировать сложные нелинейные зависимости;</w:t>
      </w:r>
    </w:p>
    <w:p w14:paraId="6F42D747" w14:textId="77777777" w:rsidR="00303A33" w:rsidRDefault="00000000">
      <w:pPr>
        <w:pStyle w:val="affe"/>
        <w:numPr>
          <w:ilvl w:val="1"/>
          <w:numId w:val="5"/>
        </w:numPr>
      </w:pPr>
      <w:r>
        <w:t>устойчивость к переобучению путем усреднения результатов;</w:t>
      </w:r>
    </w:p>
    <w:p w14:paraId="7249B687" w14:textId="77777777" w:rsidR="00303A33" w:rsidRDefault="00000000">
      <w:pPr>
        <w:pStyle w:val="affe"/>
        <w:numPr>
          <w:ilvl w:val="1"/>
          <w:numId w:val="5"/>
        </w:numPr>
      </w:pPr>
      <w:r>
        <w:lastRenderedPageBreak/>
        <w:t>возможность оценивать важность функций;</w:t>
      </w:r>
    </w:p>
    <w:p w14:paraId="10EC3D13" w14:textId="77777777" w:rsidR="00303A33" w:rsidRDefault="00000000">
      <w:pPr>
        <w:pStyle w:val="affe"/>
        <w:numPr>
          <w:ilvl w:val="1"/>
          <w:numId w:val="5"/>
        </w:numPr>
      </w:pPr>
      <w:r>
        <w:t>низкая чувствительность к масштабированию данных.</w:t>
      </w:r>
    </w:p>
    <w:p w14:paraId="51EFC842" w14:textId="77777777" w:rsidR="00303A33" w:rsidRDefault="00000000">
      <w:r>
        <w:t>Случайный лес эффективно работает с табличными данными и широко используется в задачах обнаружения мошенничества.</w:t>
      </w:r>
    </w:p>
    <w:p w14:paraId="76E27B51" w14:textId="77777777" w:rsidR="00303A33" w:rsidRDefault="00000000">
      <w:pPr>
        <w:pStyle w:val="affe"/>
        <w:numPr>
          <w:ilvl w:val="0"/>
          <w:numId w:val="5"/>
        </w:numPr>
      </w:pPr>
      <w:r>
        <w:rPr>
          <w:rFonts w:cs="Times New Roman"/>
          <w:b/>
          <w:bCs/>
          <w:szCs w:val="20"/>
        </w:rPr>
        <w:t xml:space="preserve">Градиентный </w:t>
      </w:r>
      <w:proofErr w:type="spellStart"/>
      <w:r>
        <w:rPr>
          <w:rFonts w:cs="Times New Roman"/>
          <w:b/>
          <w:bCs/>
          <w:szCs w:val="20"/>
        </w:rPr>
        <w:t>бустинг</w:t>
      </w:r>
      <w:proofErr w:type="spellEnd"/>
      <w:r>
        <w:rPr>
          <w:rFonts w:cs="Times New Roman"/>
          <w:b/>
          <w:bCs/>
          <w:szCs w:val="20"/>
        </w:rPr>
        <w:t>:</w:t>
      </w:r>
      <w:r>
        <w:t xml:space="preserve"> ансамблевый метод, основанный на последовательном построении моделей, обычно деревьев решений. Каждая новая модель обучается исправлять ошибки предыдущих, а качество улучшается за счёт минимизации функции потерь с использованием градиентного спуска. Метод позволяет выявлять сложные нелинейные зависимости и часто показывает высокую точность на табличных данных, однако чувствителен к настройке </w:t>
      </w:r>
      <w:proofErr w:type="spellStart"/>
      <w:r>
        <w:t>гиперпараметров</w:t>
      </w:r>
      <w:proofErr w:type="spellEnd"/>
      <w:r>
        <w:t xml:space="preserve"> и требует больших вычислительных ресурсов</w:t>
      </w:r>
      <w:r>
        <w:t xml:space="preserve"> </w:t>
      </w:r>
      <w:bookmarkStart w:id="100" w:name="ZOTERO_BREF_bs04qNDD6enG"/>
      <w:r>
        <w:rPr>
          <w:rFonts w:cs="Times New Roman"/>
        </w:rPr>
        <w:t>[7]</w:t>
      </w:r>
      <w:bookmarkEnd w:id="100"/>
      <w:r>
        <w:rPr>
          <w:rFonts w:cs="Times New Roman"/>
          <w:szCs w:val="20"/>
        </w:rPr>
        <w:t>.</w:t>
      </w:r>
    </w:p>
    <w:p w14:paraId="69A1CF7B" w14:textId="77777777" w:rsidR="00303A33" w:rsidRDefault="00000000">
      <w:pPr>
        <w:pStyle w:val="affe"/>
        <w:numPr>
          <w:ilvl w:val="0"/>
          <w:numId w:val="5"/>
        </w:numPr>
        <w:rPr/>
      </w:pPr>
      <w:proofErr w:type="spellStart"/>
      <w:r>
        <w:rPr>
          <w:rFonts w:cs="Times New Roman"/>
          <w:b/>
          <w:bCs/>
          <w:szCs w:val="20"/>
        </w:rPr>
        <w:t>Стекинг</w:t>
      </w:r>
      <w:proofErr w:type="spellEnd"/>
      <w:r>
        <w:rPr>
          <w:rFonts w:cs="Times New Roman"/>
          <w:b/>
          <w:bCs/>
          <w:szCs w:val="20"/>
        </w:rPr>
        <w:t>-ансамбль</w:t>
      </w:r>
      <w:r>
        <w:rPr>
          <w:rFonts w:cs="Times New Roman"/>
          <w:szCs w:val="20"/>
        </w:rPr>
        <w:t xml:space="preserve">: </w:t>
      </w:r>
      <w:r>
        <w:t xml:space="preserve">метод </w:t>
      </w:r>
      <w:proofErr w:type="spellStart"/>
      <w:r>
        <w:t>ансамблирования</w:t>
      </w:r>
      <w:proofErr w:type="spellEnd"/>
      <w:r>
        <w:t xml:space="preserve">, при котором несколько базовых классификаторов обучаются независимо, а их предсказания используются как признаки для финального мета-классификатора. В данной работе базовыми моделями являются логистическая регрессия, случайный лес и градиентный </w:t>
      </w:r>
      <w:proofErr w:type="spellStart"/>
      <w:r>
        <w:t>бустинг</w:t>
      </w:r>
      <w:proofErr w:type="spellEnd"/>
      <w:r>
        <w:t>, а мета-классификатором — логистическая регрессия. Такой подход снижает систематическую ошибку и повышает качество классификации, но требует дополнительных вычислительных затрат</w:t>
      </w:r>
      <w:r>
        <w:t xml:space="preserve"> </w:t>
      </w:r>
      <w:bookmarkStart w:id="103" w:name="ZOTERO_BREF_gU8ZTZvPhWSv"/>
      <w:r>
        <w:rPr>
          <w:rFonts w:cs="Times New Roman"/>
        </w:rPr>
        <w:t>[5]</w:t>
      </w:r>
      <w:bookmarkEnd w:id="103"/>
      <w:r>
        <w:rPr>
          <w:rFonts w:cs="Times New Roman"/>
          <w:szCs w:val="20"/>
        </w:rPr>
        <w:t>.</w:t>
      </w:r>
    </w:p>
    <w:p w14:paraId="7FA181AA" w14:textId="77777777" w:rsidR="00303A33" w:rsidRDefault="00000000">
      <w:pPr>
        <w:rPr/>
      </w:pPr>
      <w:r>
        <w:rPr>
          <w:rFonts w:cs="Times New Roman"/>
          <w:szCs w:val="20"/>
        </w:rPr>
        <w:t xml:space="preserve">Подбор </w:t>
      </w:r>
      <w:proofErr w:type="spellStart"/>
      <w:r>
        <w:rPr>
          <w:rFonts w:cs="Times New Roman"/>
          <w:szCs w:val="20"/>
        </w:rPr>
        <w:t>гиперпараметров</w:t>
      </w:r>
      <w:proofErr w:type="spellEnd"/>
      <w:r>
        <w:rPr>
          <w:rFonts w:cs="Times New Roman"/>
          <w:szCs w:val="20"/>
        </w:rPr>
        <w:t xml:space="preserve"> выполнялся с использованием </w:t>
      </w:r>
      <w:proofErr w:type="spellStart"/>
      <w:r>
        <w:rPr>
          <w:rFonts w:cs="Times New Roman"/>
          <w:i/>
          <w:iCs/>
          <w:szCs w:val="20"/>
        </w:rPr>
        <w:t>Optuna</w:t>
      </w:r>
      <w:proofErr w:type="spellEnd"/>
      <w:r>
        <w:rPr>
          <w:rFonts w:cs="Times New Roman"/>
          <w:i/>
          <w:iCs/>
          <w:szCs w:val="20"/>
        </w:rPr>
        <w:t xml:space="preserve"> </w:t>
      </w:r>
      <w:r>
        <w:rPr>
          <w:rFonts w:cs="Times New Roman"/>
          <w:szCs w:val="20"/>
        </w:rPr>
        <w:t xml:space="preserve">и стратифицированной кросс-валидации, целевой метрикой оптимизации была </w:t>
      </w:r>
      <w:r>
        <w:rPr>
          <w:rFonts w:cs="Times New Roman"/>
          <w:i/>
          <w:iCs/>
          <w:szCs w:val="20"/>
        </w:rPr>
        <w:t>ROC-AUC</w:t>
      </w:r>
      <w:r>
        <w:rPr>
          <w:rFonts w:cs="Times New Roman"/>
          <w:szCs w:val="20"/>
        </w:rPr>
        <w:t xml:space="preserve">. После обучения модели оценивались на тестовой выборке по метрикам </w:t>
      </w:r>
      <w:r>
        <w:rPr>
          <w:rFonts w:cs="Times New Roman"/>
          <w:i/>
          <w:iCs/>
          <w:szCs w:val="20"/>
        </w:rPr>
        <w:t>ROC-AUC</w:t>
      </w:r>
      <w:r>
        <w:rPr>
          <w:rFonts w:cs="Times New Roman"/>
          <w:szCs w:val="20"/>
        </w:rPr>
        <w:t xml:space="preserve">, </w:t>
      </w:r>
      <w:r>
        <w:rPr>
          <w:rFonts w:cs="Times New Roman"/>
          <w:i/>
          <w:iCs/>
          <w:szCs w:val="20"/>
        </w:rPr>
        <w:t>Precision</w:t>
      </w:r>
      <w:r>
        <w:rPr>
          <w:rFonts w:cs="Times New Roman"/>
          <w:szCs w:val="20"/>
        </w:rPr>
        <w:t xml:space="preserve">, </w:t>
      </w:r>
      <w:proofErr w:type="spellStart"/>
      <w:r>
        <w:rPr>
          <w:rFonts w:cs="Times New Roman"/>
          <w:i/>
          <w:iCs/>
          <w:szCs w:val="20"/>
        </w:rPr>
        <w:t>Recall</w:t>
      </w:r>
      <w:proofErr w:type="spellEnd"/>
      <w:r>
        <w:rPr>
          <w:rFonts w:cs="Times New Roman"/>
          <w:i/>
          <w:iCs/>
          <w:szCs w:val="20"/>
        </w:rPr>
        <w:t xml:space="preserve"> </w:t>
      </w:r>
      <w:r>
        <w:rPr>
          <w:rFonts w:cs="Times New Roman"/>
          <w:szCs w:val="20"/>
        </w:rPr>
        <w:t xml:space="preserve">и </w:t>
      </w:r>
      <w:r>
        <w:rPr>
          <w:rFonts w:cs="Times New Roman"/>
          <w:i/>
          <w:iCs/>
          <w:szCs w:val="20"/>
        </w:rPr>
        <w:t>F1-score</w:t>
      </w:r>
      <w:r>
        <w:rPr>
          <w:rFonts w:cs="Times New Roman"/>
          <w:szCs w:val="20"/>
        </w:rPr>
        <w:t xml:space="preserve">. Лучшей считалась модель с максимальным </w:t>
      </w:r>
      <w:r>
        <w:rPr>
          <w:rFonts w:cs="Times New Roman"/>
          <w:i/>
          <w:iCs/>
          <w:szCs w:val="20"/>
        </w:rPr>
        <w:t>ROC-AUC</w:t>
      </w:r>
      <w:r>
        <w:rPr>
          <w:rFonts w:cs="Times New Roman"/>
          <w:szCs w:val="20"/>
        </w:rPr>
        <w:t xml:space="preserve"> и приемлемым балансом между </w:t>
      </w:r>
      <w:proofErr w:type="spellStart"/>
      <w:r>
        <w:rPr>
          <w:rFonts w:cs="Times New Roman"/>
          <w:i/>
          <w:iCs/>
          <w:szCs w:val="20"/>
        </w:rPr>
        <w:t>Recall</w:t>
      </w:r>
      <w:proofErr w:type="spellEnd"/>
      <w:r>
        <w:rPr>
          <w:rFonts w:cs="Times New Roman"/>
          <w:i/>
          <w:iCs/>
          <w:szCs w:val="20"/>
        </w:rPr>
        <w:t xml:space="preserve"> </w:t>
      </w:r>
      <w:r>
        <w:rPr>
          <w:rFonts w:cs="Times New Roman"/>
          <w:szCs w:val="20"/>
        </w:rPr>
        <w:t xml:space="preserve">и </w:t>
      </w:r>
      <w:r>
        <w:rPr>
          <w:rFonts w:cs="Times New Roman"/>
          <w:i/>
          <w:iCs/>
          <w:szCs w:val="20"/>
        </w:rPr>
        <w:t>Precision</w:t>
      </w:r>
      <w:r>
        <w:rPr>
          <w:rFonts w:cs="Times New Roman"/>
          <w:szCs w:val="20"/>
        </w:rPr>
        <w:t>.</w:t>
      </w:r>
    </w:p>
    <w:p w14:paraId="71F84ABE" w14:textId="77777777" w:rsidR="00303A33" w:rsidRDefault="00000000">
      <w:pPr>
        <w:pStyle w:val="afff1"/>
        <w:rPr>
          <w:b/>
          <w:bCs/>
        </w:rPr>
      </w:pPr>
      <w:r>
        <w:rPr>
          <w:b/>
          <w:bCs/>
        </w:rPr>
        <w:t>Заключение</w:t>
      </w:r>
    </w:p>
    <w:p w14:paraId="5D58621E" w14:textId="77777777" w:rsidR="00303A33" w:rsidRDefault="00000000">
      <w:r>
        <w:rPr>
          <w:szCs w:val="20"/>
        </w:rPr>
        <w:t xml:space="preserve">В ходе исследования была решена задача бинарной классификации финансовых транзакций на мошеннические и легитимные. На основе датасета из 50 000 записей сформированы информативные группы признаков, подтверждены гипотезы о повышенном риске международных и ночных транзакций, введён обобщённый показатель </w:t>
      </w:r>
      <w:proofErr w:type="spellStart"/>
      <w:r>
        <w:rPr>
          <w:rStyle w:val="ac"/>
          <w:szCs w:val="20"/>
        </w:rPr>
        <w:t>risk_score</w:t>
      </w:r>
      <w:proofErr w:type="spellEnd"/>
      <w:r>
        <w:rPr>
          <w:szCs w:val="20"/>
        </w:rPr>
        <w:t xml:space="preserve">. </w:t>
      </w:r>
    </w:p>
    <w:p w14:paraId="22B905EC" w14:textId="77777777" w:rsidR="00303A33" w:rsidRDefault="00000000">
      <w:pPr>
        <w:rPr>
          <w:szCs w:val="20"/>
        </w:rPr>
      </w:pPr>
      <w:r>
        <w:rPr>
          <w:szCs w:val="20"/>
        </w:rPr>
        <w:t xml:space="preserve">Сравнение четырёх алгоритмов машинного обучения с оптимизацией </w:t>
      </w:r>
      <w:proofErr w:type="spellStart"/>
      <w:r>
        <w:rPr>
          <w:szCs w:val="20"/>
        </w:rPr>
        <w:t>гиперпараметров</w:t>
      </w:r>
      <w:proofErr w:type="spellEnd"/>
      <w:r>
        <w:rPr>
          <w:szCs w:val="20"/>
        </w:rPr>
        <w:t xml:space="preserve"> по метрике ROC-AUC позволило выявить наиболее эффективную модель, пригодную для применения в системах автоматического финансового мониторинга.</w:t>
      </w:r>
      <w:r>
        <w:br w:type="page" w:clear="all"/>
      </w:r>
    </w:p>
    <w:p w14:paraId="2F24ED3A" w14:textId="77777777" w:rsidR="00303A33" w:rsidRDefault="00000000">
      <w:pPr>
        <w:pStyle w:val="1"/>
        <w:spacing w:before="0"/>
        <w:jc w:val="center"/>
        <w:rPr>
          <w:lang w:val="en-US"/>
        </w:rPr>
      </w:pPr>
      <w:r>
        <w:rPr>
          <w:rFonts w:cs="Times New Roman"/>
          <w:b/>
          <w:bCs/>
          <w:color w:val="000000" w:themeColor="text1"/>
          <w:sz w:val="20"/>
          <w:szCs w:val="20"/>
          <w:lang w:bidi="ru-RU"/>
        </w:rPr>
        <w:lastRenderedPageBreak/>
        <w:t>Библиографический</w:t>
      </w:r>
      <w:r>
        <w:rPr>
          <w:rFonts w:cs="Times New Roman"/>
          <w:b/>
          <w:bCs/>
          <w:color w:val="000000" w:themeColor="text1"/>
          <w:sz w:val="20"/>
          <w:szCs w:val="20"/>
          <w:lang w:val="en-US" w:bidi="ru-RU"/>
        </w:rPr>
        <w:t xml:space="preserve"> </w:t>
      </w:r>
      <w:r>
        <w:rPr>
          <w:rFonts w:cs="Times New Roman"/>
          <w:b/>
          <w:bCs/>
          <w:color w:val="000000" w:themeColor="text1"/>
          <w:sz w:val="20"/>
          <w:szCs w:val="20"/>
          <w:lang w:bidi="ru-RU"/>
        </w:rPr>
        <w:t>список</w:t>
      </w:r>
    </w:p>
    <w:p w14:paraId="36AD9047" w14:textId="77777777" w:rsidR="00303A33" w:rsidRDefault="00000000">
      <w:pPr>
        <w:pStyle w:val="afff0"/>
        <w:rPr>
          <w:lang w:val="en-US"/>
        </w:rPr>
      </w:pPr>
      <w:bookmarkStart w:id="106" w:name="ZOTERO_BREF_Je5LKttl54Sz"/>
      <w:r>
        <w:rPr>
          <w:lang w:val="en-US"/>
        </w:rPr>
        <w:t>1.</w:t>
      </w:r>
      <w:r>
        <w:rPr>
          <w:lang w:val="en-US"/>
        </w:rPr>
        <w:tab/>
        <w:t>Accuracy improving of pre-trained neural networks by fine tuning [</w:t>
      </w:r>
      <w:r>
        <w:t>Электронный</w:t>
      </w:r>
      <w:r>
        <w:rPr>
          <w:lang w:val="en-US"/>
        </w:rPr>
        <w:t xml:space="preserve"> </w:t>
      </w:r>
      <w:r>
        <w:t>ресурс</w:t>
      </w:r>
      <w:r>
        <w:rPr>
          <w:lang w:val="en-US"/>
        </w:rPr>
        <w:t>]. – URL: https://cyberleninka.ru/article/n/accuracy-improving-of-pre-trained-neural-networks-by-fine-tuning/viewer (</w:t>
      </w:r>
      <w:r>
        <w:t>дата</w:t>
      </w:r>
      <w:r>
        <w:rPr>
          <w:lang w:val="en-US"/>
        </w:rPr>
        <w:t xml:space="preserve"> </w:t>
      </w:r>
      <w:r>
        <w:t>обращения</w:t>
      </w:r>
      <w:r>
        <w:rPr>
          <w:lang w:val="en-US"/>
        </w:rPr>
        <w:t>: 10.05.2026).</w:t>
      </w:r>
    </w:p>
    <w:p w14:paraId="3B84D533" w14:textId="77777777" w:rsidR="00303A33" w:rsidRDefault="00000000">
      <w:pPr>
        <w:pStyle w:val="afff0"/>
      </w:pPr>
      <w:r>
        <w:t>2.</w:t>
      </w:r>
      <w:r>
        <w:tab/>
        <w:t>Алгоритм машинного обучения адаптивный случайный лес и его применение [Электронный ресурс]. – URL: https://cyberleninka.ru/article/n/algoritm-mashinnogo-obucheniya-adaptivnyy-sluchaynyy-les-i-ego-primenenie/viewer (дата обращения: 03.05.2026).</w:t>
      </w:r>
    </w:p>
    <w:p w14:paraId="71F3E475" w14:textId="77777777" w:rsidR="00303A33" w:rsidRDefault="00000000">
      <w:pPr>
        <w:pStyle w:val="afff0"/>
      </w:pPr>
      <w:r>
        <w:t>3.</w:t>
      </w:r>
      <w:r>
        <w:tab/>
        <w:t>Анализ чувствительности метрик бинарной классификации к дисбалансу данных [Электронный ресурс]. – URL: https://cyberleninka.ru/article/n/analiz-chuvstvitelnosti-metrik-binarnoy-klassifikatsii-k-disbalansu-dannyh/viewer (дата обращения: 06.05.2026).</w:t>
      </w:r>
    </w:p>
    <w:p w14:paraId="34906207" w14:textId="77777777" w:rsidR="00303A33" w:rsidRDefault="00000000">
      <w:pPr>
        <w:pStyle w:val="afff0"/>
      </w:pPr>
      <w:r>
        <w:t>4.</w:t>
      </w:r>
      <w:r>
        <w:tab/>
        <w:t>Аналитический обзор методов оценки качества алгоритмов классификации в задачах машинного обучения [Электронный ресурс]. – URL: https://cyberleninka.ru/article/n/analiticheskiy-obzor-metodov-otsenki-kachestva-algoritmov-klassifikatsii-v-zadachah-mashinnogo-obucheniya/viewer (дата обращения: 10.05.2026).</w:t>
      </w:r>
    </w:p>
    <w:p w14:paraId="220D7465" w14:textId="77777777" w:rsidR="00303A33" w:rsidRDefault="00000000">
      <w:pPr>
        <w:pStyle w:val="afff0"/>
      </w:pPr>
      <w:r>
        <w:t>5.</w:t>
      </w:r>
      <w:r>
        <w:tab/>
        <w:t xml:space="preserve">Исследование эффективности процедуры </w:t>
      </w:r>
      <w:proofErr w:type="spellStart"/>
      <w:r>
        <w:t>стекинга</w:t>
      </w:r>
      <w:proofErr w:type="spellEnd"/>
      <w:r>
        <w:t xml:space="preserve"> при решении задач классификации [Электронный ресурс]. – URL: https://cyberleninka.ru/article/n/issledovanie-effektivnosti-protsedury-stekinga-pri-reshenii-zadach-klassifikatsii/viewer (дата обращения: 04.05.2026).</w:t>
      </w:r>
    </w:p>
    <w:p w14:paraId="793715F6" w14:textId="77777777" w:rsidR="00303A33" w:rsidRDefault="00000000">
      <w:pPr>
        <w:pStyle w:val="afff0"/>
      </w:pPr>
      <w:r>
        <w:t>6.</w:t>
      </w:r>
      <w:r>
        <w:tab/>
        <w:t>Матрица путаницы и ROC-</w:t>
      </w:r>
      <w:proofErr w:type="gramStart"/>
      <w:r>
        <w:t>кривая  как</w:t>
      </w:r>
      <w:proofErr w:type="gramEnd"/>
      <w:r>
        <w:t xml:space="preserve"> эффективное средство для оптимизации классификаторов машинного обучения [Электронный ресурс]. – URL: https://cyberleninka.ru/article/n/roc-krivaya-i-matritsa-putanitsy-kak-effektivnoe-sredstvo-dlya-optimizatsii-klassifikatorov-mashinnogo-obucheniya/viewer (дата обращения: 03.05.2026).</w:t>
      </w:r>
    </w:p>
    <w:p w14:paraId="51528550" w14:textId="77777777" w:rsidR="00303A33" w:rsidRDefault="00000000">
      <w:pPr>
        <w:pStyle w:val="afff0"/>
      </w:pPr>
      <w:r>
        <w:t>7.</w:t>
      </w:r>
      <w:r>
        <w:tab/>
        <w:t xml:space="preserve">Применение модели градиентного </w:t>
      </w:r>
      <w:proofErr w:type="spellStart"/>
      <w:r>
        <w:t>бустинга</w:t>
      </w:r>
      <w:proofErr w:type="spellEnd"/>
      <w:r>
        <w:t xml:space="preserve"> в задачах регрессии [Электронный ресурс]. – URL: https://cyberleninka.ru/article/n/primenenie-modeli-gradientnogo-bustinga-v-zadachah-regressii/viewer (дата обращения: 10.05.2026).</w:t>
      </w:r>
    </w:p>
    <w:p w14:paraId="65D12D25" w14:textId="77777777" w:rsidR="00303A33" w:rsidRDefault="00000000">
      <w:pPr>
        <w:pStyle w:val="afff0"/>
      </w:pPr>
      <w:r>
        <w:t>8.</w:t>
      </w:r>
      <w:r>
        <w:tab/>
        <w:t>Сравнительный обзор методов машинного обучения для анализа больших данных [Электронный ресурс]. – URL: https://cyberleninka.ru/article/n/sravnitelnyy-obzor-metodov-mashinnogo-obucheniya-dlya-analiza-bolshih-dannyh/viewer (дата обращения: 10.05.2026).</w:t>
      </w:r>
      <w:bookmarkEnd w:id="106"/>
    </w:p>
    <w:p w14:paraId="24BDD18A" w14:textId="77777777" w:rsidR="00303A33" w:rsidRDefault="00303A33">
      <w:pPr>
        <w:ind w:left="0" w:firstLine="284"/>
      </w:pPr>
    </w:p>
    <w:sectPr w:rsidR="00303A33">
      <w:pgSz w:w="8391" w:h="11906"/>
      <w:pgMar w:top="992" w:right="992" w:bottom="992" w:left="992"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99952" w14:textId="77777777" w:rsidR="00DA6CD1" w:rsidRDefault="00DA6CD1">
      <w:r>
        <w:separator/>
      </w:r>
    </w:p>
  </w:endnote>
  <w:endnote w:type="continuationSeparator" w:id="0">
    <w:p w14:paraId="3F3D2BA4" w14:textId="77777777" w:rsidR="00DA6CD1" w:rsidRDefault="00DA6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FreeSans">
    <w:altName w:val="Calibri"/>
    <w:charset w:val="00"/>
    <w:family w:val="auto"/>
    <w:pitch w:val="default"/>
  </w:font>
  <w:font w:name="Liberation Sans">
    <w:altName w:val="Arial"/>
    <w:charset w:val="00"/>
    <w:family w:val="auto"/>
    <w:pitch w:val="default"/>
  </w:font>
  <w:font w:name="Noto Sans">
    <w:charset w:val="00"/>
    <w:family w:val="swiss"/>
    <w:pitch w:val="variable"/>
    <w:sig w:usb0="E00082FF" w:usb1="400078FF" w:usb2="00000021" w:usb3="00000000" w:csb0="0000019F" w:csb1="00000000"/>
  </w:font>
  <w:font w:name="DejaVu Sans Condensed">
    <w:charset w:val="00"/>
    <w:family w:val="auto"/>
    <w:pitch w:val="default"/>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1D1B1" w14:textId="77777777" w:rsidR="00DA6CD1" w:rsidRDefault="00DA6CD1">
      <w:r>
        <w:separator/>
      </w:r>
    </w:p>
  </w:footnote>
  <w:footnote w:type="continuationSeparator" w:id="0">
    <w:p w14:paraId="33CD0978" w14:textId="77777777" w:rsidR="00DA6CD1" w:rsidRDefault="00DA6C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596"/>
    <w:multiLevelType w:val="multilevel"/>
    <w:tmpl w:val="6212DCF8"/>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 w15:restartNumberingAfterBreak="0">
    <w:nsid w:val="03E2153C"/>
    <w:multiLevelType w:val="multilevel"/>
    <w:tmpl w:val="AC00EB26"/>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 w15:restartNumberingAfterBreak="0">
    <w:nsid w:val="197B4BB6"/>
    <w:multiLevelType w:val="multilevel"/>
    <w:tmpl w:val="879E2C06"/>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3" w15:restartNumberingAfterBreak="0">
    <w:nsid w:val="1B4E3449"/>
    <w:multiLevelType w:val="multilevel"/>
    <w:tmpl w:val="5C5EFF4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4" w15:restartNumberingAfterBreak="0">
    <w:nsid w:val="1ED74499"/>
    <w:multiLevelType w:val="multilevel"/>
    <w:tmpl w:val="0376177E"/>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15:restartNumberingAfterBreak="0">
    <w:nsid w:val="2A8600BF"/>
    <w:multiLevelType w:val="multilevel"/>
    <w:tmpl w:val="369C7D26"/>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6" w15:restartNumberingAfterBreak="0">
    <w:nsid w:val="2E8032B6"/>
    <w:multiLevelType w:val="multilevel"/>
    <w:tmpl w:val="DAA45D0E"/>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7" w15:restartNumberingAfterBreak="0">
    <w:nsid w:val="2FCB399D"/>
    <w:multiLevelType w:val="multilevel"/>
    <w:tmpl w:val="557E4A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339D5AEB"/>
    <w:multiLevelType w:val="multilevel"/>
    <w:tmpl w:val="F29E60E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9" w15:restartNumberingAfterBreak="0">
    <w:nsid w:val="33CB27FF"/>
    <w:multiLevelType w:val="multilevel"/>
    <w:tmpl w:val="8B6AEE58"/>
    <w:lvl w:ilvl="0">
      <w:start w:val="1"/>
      <w:numFmt w:val="bullet"/>
      <w:lvlText w:val=""/>
      <w:lvlJc w:val="left"/>
      <w:pPr>
        <w:tabs>
          <w:tab w:val="num" w:pos="1003"/>
        </w:tabs>
        <w:ind w:left="1003" w:hanging="360"/>
      </w:pPr>
      <w:rPr>
        <w:rFonts w:ascii="Symbol" w:hAnsi="Symbol" w:cs="Symbol" w:hint="default"/>
      </w:rPr>
    </w:lvl>
    <w:lvl w:ilvl="1">
      <w:start w:val="1"/>
      <w:numFmt w:val="bullet"/>
      <w:lvlText w:val="◦"/>
      <w:lvlJc w:val="left"/>
      <w:pPr>
        <w:tabs>
          <w:tab w:val="num" w:pos="1363"/>
        </w:tabs>
        <w:ind w:left="1363" w:hanging="360"/>
      </w:pPr>
      <w:rPr>
        <w:rFonts w:ascii="OpenSymbol" w:hAnsi="OpenSymbol" w:cs="OpenSymbol" w:hint="default"/>
      </w:rPr>
    </w:lvl>
    <w:lvl w:ilvl="2">
      <w:start w:val="1"/>
      <w:numFmt w:val="bullet"/>
      <w:lvlText w:val="▪"/>
      <w:lvlJc w:val="left"/>
      <w:pPr>
        <w:tabs>
          <w:tab w:val="num" w:pos="1723"/>
        </w:tabs>
        <w:ind w:left="1723" w:hanging="360"/>
      </w:pPr>
      <w:rPr>
        <w:rFonts w:ascii="OpenSymbol" w:hAnsi="OpenSymbol" w:cs="OpenSymbol" w:hint="default"/>
      </w:rPr>
    </w:lvl>
    <w:lvl w:ilvl="3">
      <w:start w:val="1"/>
      <w:numFmt w:val="bullet"/>
      <w:lvlText w:val=""/>
      <w:lvlJc w:val="left"/>
      <w:pPr>
        <w:tabs>
          <w:tab w:val="num" w:pos="2083"/>
        </w:tabs>
        <w:ind w:left="2083" w:hanging="360"/>
      </w:pPr>
      <w:rPr>
        <w:rFonts w:ascii="Symbol" w:hAnsi="Symbol" w:cs="Symbol" w:hint="default"/>
      </w:rPr>
    </w:lvl>
    <w:lvl w:ilvl="4">
      <w:start w:val="1"/>
      <w:numFmt w:val="bullet"/>
      <w:lvlText w:val="◦"/>
      <w:lvlJc w:val="left"/>
      <w:pPr>
        <w:tabs>
          <w:tab w:val="num" w:pos="2443"/>
        </w:tabs>
        <w:ind w:left="2443" w:hanging="360"/>
      </w:pPr>
      <w:rPr>
        <w:rFonts w:ascii="OpenSymbol" w:hAnsi="OpenSymbol" w:cs="OpenSymbol" w:hint="default"/>
      </w:rPr>
    </w:lvl>
    <w:lvl w:ilvl="5">
      <w:start w:val="1"/>
      <w:numFmt w:val="bullet"/>
      <w:lvlText w:val="▪"/>
      <w:lvlJc w:val="left"/>
      <w:pPr>
        <w:tabs>
          <w:tab w:val="num" w:pos="2803"/>
        </w:tabs>
        <w:ind w:left="2803" w:hanging="360"/>
      </w:pPr>
      <w:rPr>
        <w:rFonts w:ascii="OpenSymbol" w:hAnsi="OpenSymbol" w:cs="OpenSymbol" w:hint="default"/>
      </w:rPr>
    </w:lvl>
    <w:lvl w:ilvl="6">
      <w:start w:val="1"/>
      <w:numFmt w:val="bullet"/>
      <w:lvlText w:val=""/>
      <w:lvlJc w:val="left"/>
      <w:pPr>
        <w:tabs>
          <w:tab w:val="num" w:pos="3163"/>
        </w:tabs>
        <w:ind w:left="3163" w:hanging="360"/>
      </w:pPr>
      <w:rPr>
        <w:rFonts w:ascii="Symbol" w:hAnsi="Symbol" w:cs="Symbol" w:hint="default"/>
      </w:rPr>
    </w:lvl>
    <w:lvl w:ilvl="7">
      <w:start w:val="1"/>
      <w:numFmt w:val="bullet"/>
      <w:lvlText w:val="◦"/>
      <w:lvlJc w:val="left"/>
      <w:pPr>
        <w:tabs>
          <w:tab w:val="num" w:pos="3523"/>
        </w:tabs>
        <w:ind w:left="3523" w:hanging="360"/>
      </w:pPr>
      <w:rPr>
        <w:rFonts w:ascii="OpenSymbol" w:hAnsi="OpenSymbol" w:cs="OpenSymbol" w:hint="default"/>
      </w:rPr>
    </w:lvl>
    <w:lvl w:ilvl="8">
      <w:start w:val="1"/>
      <w:numFmt w:val="bullet"/>
      <w:lvlText w:val="▪"/>
      <w:lvlJc w:val="left"/>
      <w:pPr>
        <w:tabs>
          <w:tab w:val="num" w:pos="3883"/>
        </w:tabs>
        <w:ind w:left="3883" w:hanging="360"/>
      </w:pPr>
      <w:rPr>
        <w:rFonts w:ascii="OpenSymbol" w:hAnsi="OpenSymbol" w:cs="OpenSymbol" w:hint="default"/>
      </w:rPr>
    </w:lvl>
  </w:abstractNum>
  <w:abstractNum w:abstractNumId="10" w15:restartNumberingAfterBreak="0">
    <w:nsid w:val="438D4208"/>
    <w:multiLevelType w:val="multilevel"/>
    <w:tmpl w:val="9C166F6C"/>
    <w:lvl w:ilvl="0">
      <w:start w:val="1"/>
      <w:numFmt w:val="bullet"/>
      <w:lvlText w:val=""/>
      <w:lvlJc w:val="left"/>
      <w:pPr>
        <w:tabs>
          <w:tab w:val="num" w:pos="2563"/>
        </w:tabs>
        <w:ind w:left="2563" w:hanging="360"/>
      </w:pPr>
      <w:rPr>
        <w:rFonts w:ascii="Symbol" w:hAnsi="Symbol" w:cs="Symbol" w:hint="default"/>
      </w:rPr>
    </w:lvl>
    <w:lvl w:ilvl="1">
      <w:start w:val="1"/>
      <w:numFmt w:val="bullet"/>
      <w:lvlText w:val="◦"/>
      <w:lvlJc w:val="left"/>
      <w:pPr>
        <w:tabs>
          <w:tab w:val="num" w:pos="2923"/>
        </w:tabs>
        <w:ind w:left="2923" w:hanging="360"/>
      </w:pPr>
      <w:rPr>
        <w:rFonts w:ascii="OpenSymbol" w:hAnsi="OpenSymbol" w:cs="OpenSymbol" w:hint="default"/>
      </w:rPr>
    </w:lvl>
    <w:lvl w:ilvl="2">
      <w:start w:val="1"/>
      <w:numFmt w:val="bullet"/>
      <w:lvlText w:val="▪"/>
      <w:lvlJc w:val="left"/>
      <w:pPr>
        <w:tabs>
          <w:tab w:val="num" w:pos="3283"/>
        </w:tabs>
        <w:ind w:left="3283" w:hanging="360"/>
      </w:pPr>
      <w:rPr>
        <w:rFonts w:ascii="OpenSymbol" w:hAnsi="OpenSymbol" w:cs="OpenSymbol" w:hint="default"/>
      </w:rPr>
    </w:lvl>
    <w:lvl w:ilvl="3">
      <w:start w:val="1"/>
      <w:numFmt w:val="bullet"/>
      <w:lvlText w:val=""/>
      <w:lvlJc w:val="left"/>
      <w:pPr>
        <w:tabs>
          <w:tab w:val="num" w:pos="3643"/>
        </w:tabs>
        <w:ind w:left="3643" w:hanging="360"/>
      </w:pPr>
      <w:rPr>
        <w:rFonts w:ascii="Symbol" w:hAnsi="Symbol" w:cs="Symbol" w:hint="default"/>
      </w:rPr>
    </w:lvl>
    <w:lvl w:ilvl="4">
      <w:start w:val="1"/>
      <w:numFmt w:val="bullet"/>
      <w:lvlText w:val="◦"/>
      <w:lvlJc w:val="left"/>
      <w:pPr>
        <w:tabs>
          <w:tab w:val="num" w:pos="4003"/>
        </w:tabs>
        <w:ind w:left="4003" w:hanging="360"/>
      </w:pPr>
      <w:rPr>
        <w:rFonts w:ascii="OpenSymbol" w:hAnsi="OpenSymbol" w:cs="OpenSymbol" w:hint="default"/>
      </w:rPr>
    </w:lvl>
    <w:lvl w:ilvl="5">
      <w:start w:val="1"/>
      <w:numFmt w:val="bullet"/>
      <w:lvlText w:val="▪"/>
      <w:lvlJc w:val="left"/>
      <w:pPr>
        <w:tabs>
          <w:tab w:val="num" w:pos="4363"/>
        </w:tabs>
        <w:ind w:left="4363" w:hanging="360"/>
      </w:pPr>
      <w:rPr>
        <w:rFonts w:ascii="OpenSymbol" w:hAnsi="OpenSymbol" w:cs="OpenSymbol" w:hint="default"/>
      </w:rPr>
    </w:lvl>
    <w:lvl w:ilvl="6">
      <w:start w:val="1"/>
      <w:numFmt w:val="bullet"/>
      <w:lvlText w:val=""/>
      <w:lvlJc w:val="left"/>
      <w:pPr>
        <w:tabs>
          <w:tab w:val="num" w:pos="4723"/>
        </w:tabs>
        <w:ind w:left="4723" w:hanging="360"/>
      </w:pPr>
      <w:rPr>
        <w:rFonts w:ascii="Symbol" w:hAnsi="Symbol" w:cs="Symbol" w:hint="default"/>
      </w:rPr>
    </w:lvl>
    <w:lvl w:ilvl="7">
      <w:start w:val="1"/>
      <w:numFmt w:val="bullet"/>
      <w:lvlText w:val="◦"/>
      <w:lvlJc w:val="left"/>
      <w:pPr>
        <w:tabs>
          <w:tab w:val="num" w:pos="5083"/>
        </w:tabs>
        <w:ind w:left="5083" w:hanging="360"/>
      </w:pPr>
      <w:rPr>
        <w:rFonts w:ascii="OpenSymbol" w:hAnsi="OpenSymbol" w:cs="OpenSymbol" w:hint="default"/>
      </w:rPr>
    </w:lvl>
    <w:lvl w:ilvl="8">
      <w:start w:val="1"/>
      <w:numFmt w:val="bullet"/>
      <w:lvlText w:val="▪"/>
      <w:lvlJc w:val="left"/>
      <w:pPr>
        <w:tabs>
          <w:tab w:val="num" w:pos="5443"/>
        </w:tabs>
        <w:ind w:left="5443" w:hanging="360"/>
      </w:pPr>
      <w:rPr>
        <w:rFonts w:ascii="OpenSymbol" w:hAnsi="OpenSymbol" w:cs="OpenSymbol" w:hint="default"/>
      </w:rPr>
    </w:lvl>
  </w:abstractNum>
  <w:abstractNum w:abstractNumId="11" w15:restartNumberingAfterBreak="0">
    <w:nsid w:val="4FE82E3D"/>
    <w:multiLevelType w:val="multilevel"/>
    <w:tmpl w:val="34BA3F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4FED77B8"/>
    <w:multiLevelType w:val="multilevel"/>
    <w:tmpl w:val="55BC8D4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3" w15:restartNumberingAfterBreak="0">
    <w:nsid w:val="5C6E3764"/>
    <w:multiLevelType w:val="multilevel"/>
    <w:tmpl w:val="62386AB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61235438"/>
    <w:multiLevelType w:val="multilevel"/>
    <w:tmpl w:val="8ADE059A"/>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5" w15:restartNumberingAfterBreak="0">
    <w:nsid w:val="612A511B"/>
    <w:multiLevelType w:val="multilevel"/>
    <w:tmpl w:val="27DC741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6" w15:restartNumberingAfterBreak="0">
    <w:nsid w:val="645B47D6"/>
    <w:multiLevelType w:val="multilevel"/>
    <w:tmpl w:val="4538C1A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num w:numId="1" w16cid:durableId="1917350672">
    <w:abstractNumId w:val="13"/>
  </w:num>
  <w:num w:numId="2" w16cid:durableId="763570989">
    <w:abstractNumId w:val="11"/>
  </w:num>
  <w:num w:numId="3" w16cid:durableId="1628856031">
    <w:abstractNumId w:val="14"/>
  </w:num>
  <w:num w:numId="4" w16cid:durableId="2012877076">
    <w:abstractNumId w:val="2"/>
  </w:num>
  <w:num w:numId="5" w16cid:durableId="674573477">
    <w:abstractNumId w:val="1"/>
  </w:num>
  <w:num w:numId="6" w16cid:durableId="1038431290">
    <w:abstractNumId w:val="15"/>
  </w:num>
  <w:num w:numId="7" w16cid:durableId="2070227187">
    <w:abstractNumId w:val="10"/>
  </w:num>
  <w:num w:numId="8" w16cid:durableId="1972248669">
    <w:abstractNumId w:val="12"/>
  </w:num>
  <w:num w:numId="9" w16cid:durableId="1415132177">
    <w:abstractNumId w:val="0"/>
  </w:num>
  <w:num w:numId="10" w16cid:durableId="1148866244">
    <w:abstractNumId w:val="4"/>
  </w:num>
  <w:num w:numId="11" w16cid:durableId="568425258">
    <w:abstractNumId w:val="5"/>
  </w:num>
  <w:num w:numId="12" w16cid:durableId="1361708418">
    <w:abstractNumId w:val="6"/>
  </w:num>
  <w:num w:numId="13" w16cid:durableId="1088428218">
    <w:abstractNumId w:val="8"/>
  </w:num>
  <w:num w:numId="14" w16cid:durableId="959843246">
    <w:abstractNumId w:val="16"/>
  </w:num>
  <w:num w:numId="15" w16cid:durableId="493649901">
    <w:abstractNumId w:val="3"/>
  </w:num>
  <w:num w:numId="16" w16cid:durableId="916743533">
    <w:abstractNumId w:val="9"/>
  </w:num>
  <w:num w:numId="17" w16cid:durableId="8314133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Виктор Радыгин">
    <w15:presenceInfo w15:providerId="Windows Live" w15:userId="82be2093fde651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A33"/>
    <w:rsid w:val="00303A33"/>
    <w:rsid w:val="004C5BBC"/>
    <w:rsid w:val="004F442E"/>
    <w:rsid w:val="005361F6"/>
    <w:rsid w:val="00DA6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D34E"/>
  <w15:docId w15:val="{3BECB8F3-520F-422A-9816-694BC3FAA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left="283" w:firstLine="283"/>
      <w:jc w:val="both"/>
    </w:pPr>
    <w:rPr>
      <w:rFonts w:ascii="Times New Roman" w:eastAsia="Times New Roman" w:hAnsi="Times New Roman"/>
      <w:sz w:val="20"/>
    </w:rPr>
  </w:style>
  <w:style w:type="paragraph" w:styleId="1">
    <w:name w:val="heading 1"/>
    <w:basedOn w:val="a"/>
    <w:next w:val="a"/>
    <w:link w:val="10"/>
    <w:uiPriority w:val="9"/>
    <w:qFormat/>
    <w:pPr>
      <w:keepNext/>
      <w:keepLines/>
      <w:spacing w:before="400" w:after="120"/>
      <w:outlineLvl w:val="0"/>
    </w:pPr>
    <w:rPr>
      <w:sz w:val="40"/>
      <w:szCs w:val="40"/>
    </w:rPr>
  </w:style>
  <w:style w:type="paragraph" w:styleId="2">
    <w:name w:val="heading 2"/>
    <w:basedOn w:val="a"/>
    <w:next w:val="a"/>
    <w:link w:val="20"/>
    <w:uiPriority w:val="9"/>
    <w:semiHidden/>
    <w:unhideWhenUsed/>
    <w:qFormat/>
    <w:pPr>
      <w:keepNext/>
      <w:keepLines/>
      <w:spacing w:before="360" w:after="120"/>
      <w:outlineLvl w:val="1"/>
    </w:pPr>
    <w:rPr>
      <w:sz w:val="32"/>
      <w:szCs w:val="32"/>
    </w:rPr>
  </w:style>
  <w:style w:type="paragraph" w:styleId="3">
    <w:name w:val="heading 3"/>
    <w:basedOn w:val="a"/>
    <w:next w:val="a"/>
    <w:link w:val="30"/>
    <w:uiPriority w:val="9"/>
    <w:semiHidden/>
    <w:unhideWhenUsed/>
    <w:qFormat/>
    <w:pPr>
      <w:keepNext/>
      <w:keepLines/>
      <w:spacing w:before="320" w:after="80"/>
      <w:outlineLvl w:val="2"/>
    </w:pPr>
    <w:rPr>
      <w:color w:val="434343"/>
      <w:sz w:val="28"/>
      <w:szCs w:val="28"/>
    </w:rPr>
  </w:style>
  <w:style w:type="paragraph" w:styleId="4">
    <w:name w:val="heading 4"/>
    <w:basedOn w:val="a"/>
    <w:next w:val="a"/>
    <w:link w:val="40"/>
    <w:uiPriority w:val="9"/>
    <w:semiHidden/>
    <w:unhideWhenUsed/>
    <w:qFormat/>
    <w:pPr>
      <w:keepNext/>
      <w:keepLines/>
      <w:spacing w:before="280" w:after="80"/>
      <w:outlineLvl w:val="3"/>
    </w:pPr>
    <w:rPr>
      <w:color w:val="666666"/>
      <w:sz w:val="24"/>
      <w:szCs w:val="24"/>
    </w:rPr>
  </w:style>
  <w:style w:type="paragraph" w:styleId="5">
    <w:name w:val="heading 5"/>
    <w:basedOn w:val="a"/>
    <w:next w:val="a"/>
    <w:link w:val="50"/>
    <w:uiPriority w:val="9"/>
    <w:semiHidden/>
    <w:unhideWhenUsed/>
    <w:qFormat/>
    <w:pPr>
      <w:keepNext/>
      <w:keepLines/>
      <w:spacing w:before="240" w:after="80"/>
      <w:outlineLvl w:val="4"/>
    </w:pPr>
    <w:rPr>
      <w:color w:val="666666"/>
    </w:rPr>
  </w:style>
  <w:style w:type="paragraph" w:styleId="6">
    <w:name w:val="heading 6"/>
    <w:basedOn w:val="a"/>
    <w:next w:val="a"/>
    <w:link w:val="60"/>
    <w:uiPriority w:val="9"/>
    <w:semiHidden/>
    <w:unhideWhenUsed/>
    <w:qFormat/>
    <w:pPr>
      <w:keepNext/>
      <w:keepLines/>
      <w:spacing w:before="240" w:after="80"/>
      <w:outlineLvl w:val="5"/>
    </w:pPr>
    <w:rPr>
      <w:i/>
      <w:iCs/>
      <w:color w:val="666666"/>
    </w:rPr>
  </w:style>
  <w:style w:type="paragraph" w:styleId="7">
    <w:name w:val="heading 7"/>
    <w:basedOn w:val="a"/>
    <w:next w:val="a"/>
    <w:link w:val="70"/>
    <w:uiPriority w:val="9"/>
    <w:unhideWhenUsed/>
    <w:qFormat/>
    <w:pPr>
      <w:keepNext/>
      <w:keepLines/>
      <w:spacing w:before="40"/>
      <w:outlineLvl w:val="6"/>
    </w:pPr>
    <w:rPr>
      <w:color w:val="595959" w:themeColor="text1" w:themeTint="A6"/>
    </w:rPr>
  </w:style>
  <w:style w:type="paragraph" w:styleId="8">
    <w:name w:val="heading 8"/>
    <w:basedOn w:val="a"/>
    <w:next w:val="a"/>
    <w:link w:val="80"/>
    <w:uiPriority w:val="9"/>
    <w:unhideWhenUsed/>
    <w:qFormat/>
    <w:pPr>
      <w:keepNext/>
      <w:keepLines/>
      <w:outlineLvl w:val="7"/>
    </w:pPr>
    <w:rPr>
      <w:i/>
      <w:iCs/>
      <w:color w:val="272727" w:themeColor="text1" w:themeTint="D8"/>
    </w:rPr>
  </w:style>
  <w:style w:type="paragraph" w:styleId="9">
    <w:name w:val="heading 9"/>
    <w:basedOn w:val="a"/>
    <w:next w:val="a"/>
    <w:link w:val="90"/>
    <w:uiPriority w:val="9"/>
    <w:unhideWhenUsed/>
    <w:qFormat/>
    <w:pPr>
      <w:keepNext/>
      <w:keepLines/>
      <w:outlineLvl w:val="8"/>
    </w:pPr>
    <w:rPr>
      <w:i/>
      <w:iCs/>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qFormat/>
    <w:rPr>
      <w:rFonts w:ascii="Arial" w:eastAsia="Arial" w:hAnsi="Arial" w:cs="Arial"/>
      <w:color w:val="365F91" w:themeColor="accent1" w:themeShade="BF"/>
      <w:sz w:val="40"/>
      <w:szCs w:val="40"/>
    </w:rPr>
  </w:style>
  <w:style w:type="character" w:customStyle="1" w:styleId="Heading2Char">
    <w:name w:val="Heading 2 Char"/>
    <w:basedOn w:val="a0"/>
    <w:uiPriority w:val="9"/>
    <w:qFormat/>
    <w:rPr>
      <w:rFonts w:ascii="Arial" w:eastAsia="Arial" w:hAnsi="Arial" w:cs="Arial"/>
      <w:color w:val="365F91" w:themeColor="accent1" w:themeShade="BF"/>
      <w:sz w:val="32"/>
      <w:szCs w:val="32"/>
    </w:rPr>
  </w:style>
  <w:style w:type="character" w:customStyle="1" w:styleId="Heading3Char">
    <w:name w:val="Heading 3 Char"/>
    <w:basedOn w:val="a0"/>
    <w:uiPriority w:val="9"/>
    <w:qFormat/>
    <w:rPr>
      <w:rFonts w:ascii="Arial" w:eastAsia="Arial" w:hAnsi="Arial" w:cs="Arial"/>
      <w:color w:val="365F91" w:themeColor="accent1" w:themeShade="BF"/>
      <w:sz w:val="28"/>
      <w:szCs w:val="28"/>
    </w:rPr>
  </w:style>
  <w:style w:type="character" w:customStyle="1" w:styleId="Heading4Char">
    <w:name w:val="Heading 4 Char"/>
    <w:basedOn w:val="a0"/>
    <w:uiPriority w:val="9"/>
    <w:qFormat/>
    <w:rPr>
      <w:rFonts w:ascii="Arial" w:eastAsia="Arial" w:hAnsi="Arial" w:cs="Arial"/>
      <w:i/>
      <w:iCs/>
      <w:color w:val="365F91" w:themeColor="accent1" w:themeShade="BF"/>
    </w:rPr>
  </w:style>
  <w:style w:type="character" w:customStyle="1" w:styleId="Heading5Char">
    <w:name w:val="Heading 5 Char"/>
    <w:basedOn w:val="a0"/>
    <w:uiPriority w:val="9"/>
    <w:qFormat/>
    <w:rPr>
      <w:rFonts w:ascii="Arial" w:eastAsia="Arial" w:hAnsi="Arial" w:cs="Arial"/>
      <w:color w:val="365F91" w:themeColor="accent1" w:themeShade="BF"/>
    </w:rPr>
  </w:style>
  <w:style w:type="character" w:customStyle="1" w:styleId="Heading6Char">
    <w:name w:val="Heading 6 Char"/>
    <w:basedOn w:val="a0"/>
    <w:uiPriority w:val="9"/>
    <w:qFormat/>
    <w:rPr>
      <w:rFonts w:ascii="Arial" w:eastAsia="Arial" w:hAnsi="Arial" w:cs="Arial"/>
      <w:i/>
      <w:iCs/>
      <w:color w:val="595959" w:themeColor="text1" w:themeTint="A6"/>
    </w:rPr>
  </w:style>
  <w:style w:type="character" w:customStyle="1" w:styleId="Heading7Char">
    <w:name w:val="Heading 7 Char"/>
    <w:basedOn w:val="a0"/>
    <w:uiPriority w:val="9"/>
    <w:qFormat/>
    <w:rPr>
      <w:rFonts w:ascii="Arial" w:eastAsia="Arial" w:hAnsi="Arial" w:cs="Arial"/>
      <w:color w:val="595959" w:themeColor="text1" w:themeTint="A6"/>
    </w:rPr>
  </w:style>
  <w:style w:type="character" w:customStyle="1" w:styleId="Heading8Char">
    <w:name w:val="Heading 8 Char"/>
    <w:basedOn w:val="a0"/>
    <w:uiPriority w:val="9"/>
    <w:qFormat/>
    <w:rPr>
      <w:rFonts w:ascii="Arial" w:eastAsia="Arial" w:hAnsi="Arial" w:cs="Arial"/>
      <w:i/>
      <w:iCs/>
      <w:color w:val="272727" w:themeColor="text1" w:themeTint="D8"/>
    </w:rPr>
  </w:style>
  <w:style w:type="character" w:customStyle="1" w:styleId="Heading9Char">
    <w:name w:val="Heading 9 Char"/>
    <w:basedOn w:val="a0"/>
    <w:uiPriority w:val="9"/>
    <w:qFormat/>
    <w:rPr>
      <w:rFonts w:ascii="Arial" w:eastAsia="Arial" w:hAnsi="Arial" w:cs="Arial"/>
      <w:i/>
      <w:iCs/>
      <w:color w:val="272727" w:themeColor="text1" w:themeTint="D8"/>
    </w:rPr>
  </w:style>
  <w:style w:type="character" w:customStyle="1" w:styleId="TitleChar">
    <w:name w:val="Title Char"/>
    <w:basedOn w:val="a0"/>
    <w:uiPriority w:val="10"/>
    <w:qFormat/>
    <w:rPr>
      <w:rFonts w:ascii="Arial" w:eastAsia="Arial" w:hAnsi="Arial" w:cs="Arial"/>
      <w:spacing w:val="-10"/>
      <w:sz w:val="56"/>
      <w:szCs w:val="56"/>
    </w:rPr>
  </w:style>
  <w:style w:type="character" w:customStyle="1" w:styleId="SubtitleChar">
    <w:name w:val="Subtitle Char"/>
    <w:basedOn w:val="a0"/>
    <w:uiPriority w:val="11"/>
    <w:qFormat/>
    <w:rPr>
      <w:color w:val="595959" w:themeColor="text1" w:themeTint="A6"/>
      <w:spacing w:val="15"/>
      <w:sz w:val="28"/>
      <w:szCs w:val="28"/>
    </w:rPr>
  </w:style>
  <w:style w:type="character" w:customStyle="1" w:styleId="QuoteChar">
    <w:name w:val="Quote Char"/>
    <w:basedOn w:val="a0"/>
    <w:uiPriority w:val="29"/>
    <w:qFormat/>
    <w:rPr>
      <w:i/>
      <w:iCs/>
      <w:color w:val="404040" w:themeColor="text1" w:themeTint="BF"/>
    </w:rPr>
  </w:style>
  <w:style w:type="character" w:customStyle="1" w:styleId="IntenseQuoteChar">
    <w:name w:val="Intense Quote Char"/>
    <w:basedOn w:val="a0"/>
    <w:uiPriority w:val="30"/>
    <w:qFormat/>
    <w:rPr>
      <w:i/>
      <w:iCs/>
      <w:color w:val="365F91" w:themeColor="accent1" w:themeShade="BF"/>
    </w:rPr>
  </w:style>
  <w:style w:type="character" w:customStyle="1" w:styleId="HeaderChar">
    <w:name w:val="Header Char"/>
    <w:basedOn w:val="a0"/>
    <w:uiPriority w:val="99"/>
    <w:qFormat/>
  </w:style>
  <w:style w:type="character" w:customStyle="1" w:styleId="FooterChar">
    <w:name w:val="Footer Char"/>
    <w:basedOn w:val="a0"/>
    <w:uiPriority w:val="99"/>
    <w:qFormat/>
  </w:style>
  <w:style w:type="character" w:customStyle="1" w:styleId="FootnoteTextChar">
    <w:name w:val="Footnote Text Char"/>
    <w:basedOn w:val="a0"/>
    <w:uiPriority w:val="99"/>
    <w:semiHidden/>
    <w:qFormat/>
    <w:rPr>
      <w:sz w:val="20"/>
      <w:szCs w:val="20"/>
    </w:rPr>
  </w:style>
  <w:style w:type="character" w:customStyle="1" w:styleId="EndnoteTextChar">
    <w:name w:val="Endnote Text Char"/>
    <w:basedOn w:val="a0"/>
    <w:uiPriority w:val="99"/>
    <w:semiHidden/>
    <w:qFormat/>
    <w:rPr>
      <w:sz w:val="20"/>
      <w:szCs w:val="20"/>
    </w:rPr>
  </w:style>
  <w:style w:type="character" w:customStyle="1" w:styleId="10">
    <w:name w:val="Заголовок 1 Знак"/>
    <w:basedOn w:val="a0"/>
    <w:link w:val="1"/>
    <w:uiPriority w:val="9"/>
    <w:qFormat/>
    <w:rPr>
      <w:rFonts w:ascii="Arial" w:eastAsia="Arial" w:hAnsi="Arial" w:cs="Arial"/>
      <w:color w:val="365F91" w:themeColor="accent1" w:themeShade="BF"/>
      <w:sz w:val="40"/>
      <w:szCs w:val="40"/>
    </w:rPr>
  </w:style>
  <w:style w:type="character" w:customStyle="1" w:styleId="20">
    <w:name w:val="Заголовок 2 Знак"/>
    <w:basedOn w:val="a0"/>
    <w:link w:val="2"/>
    <w:uiPriority w:val="9"/>
    <w:qFormat/>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qFormat/>
    <w:rPr>
      <w:rFonts w:ascii="Arial" w:eastAsia="Arial" w:hAnsi="Arial" w:cs="Arial"/>
      <w:color w:val="365F91" w:themeColor="accent1" w:themeShade="BF"/>
      <w:sz w:val="28"/>
      <w:szCs w:val="28"/>
    </w:rPr>
  </w:style>
  <w:style w:type="character" w:customStyle="1" w:styleId="40">
    <w:name w:val="Заголовок 4 Знак"/>
    <w:basedOn w:val="a0"/>
    <w:link w:val="4"/>
    <w:uiPriority w:val="9"/>
    <w:qFormat/>
    <w:rPr>
      <w:rFonts w:ascii="Arial" w:eastAsia="Arial" w:hAnsi="Arial" w:cs="Arial"/>
      <w:i/>
      <w:iCs/>
      <w:color w:val="365F91" w:themeColor="accent1" w:themeShade="BF"/>
    </w:rPr>
  </w:style>
  <w:style w:type="character" w:customStyle="1" w:styleId="50">
    <w:name w:val="Заголовок 5 Знак"/>
    <w:basedOn w:val="a0"/>
    <w:link w:val="5"/>
    <w:uiPriority w:val="9"/>
    <w:qFormat/>
    <w:rPr>
      <w:rFonts w:ascii="Arial" w:eastAsia="Arial" w:hAnsi="Arial" w:cs="Arial"/>
      <w:color w:val="365F91" w:themeColor="accent1" w:themeShade="BF"/>
    </w:rPr>
  </w:style>
  <w:style w:type="character" w:customStyle="1" w:styleId="60">
    <w:name w:val="Заголовок 6 Знак"/>
    <w:basedOn w:val="a0"/>
    <w:link w:val="6"/>
    <w:uiPriority w:val="9"/>
    <w:qFormat/>
    <w:rPr>
      <w:rFonts w:ascii="Arial" w:eastAsia="Arial" w:hAnsi="Arial" w:cs="Arial"/>
      <w:i/>
      <w:iCs/>
      <w:color w:val="595959" w:themeColor="text1" w:themeTint="A6"/>
    </w:rPr>
  </w:style>
  <w:style w:type="character" w:customStyle="1" w:styleId="70">
    <w:name w:val="Заголовок 7 Знак"/>
    <w:basedOn w:val="a0"/>
    <w:link w:val="7"/>
    <w:uiPriority w:val="9"/>
    <w:qFormat/>
    <w:rPr>
      <w:rFonts w:ascii="Arial" w:eastAsia="Arial" w:hAnsi="Arial" w:cs="Arial"/>
      <w:color w:val="595959" w:themeColor="text1" w:themeTint="A6"/>
    </w:rPr>
  </w:style>
  <w:style w:type="character" w:customStyle="1" w:styleId="80">
    <w:name w:val="Заголовок 8 Знак"/>
    <w:basedOn w:val="a0"/>
    <w:link w:val="8"/>
    <w:uiPriority w:val="9"/>
    <w:qFormat/>
    <w:rPr>
      <w:rFonts w:ascii="Arial" w:eastAsia="Arial" w:hAnsi="Arial" w:cs="Arial"/>
      <w:i/>
      <w:iCs/>
      <w:color w:val="272727" w:themeColor="text1" w:themeTint="D8"/>
    </w:rPr>
  </w:style>
  <w:style w:type="character" w:customStyle="1" w:styleId="90">
    <w:name w:val="Заголовок 9 Знак"/>
    <w:basedOn w:val="a0"/>
    <w:link w:val="9"/>
    <w:uiPriority w:val="9"/>
    <w:qFormat/>
    <w:rPr>
      <w:rFonts w:ascii="Arial" w:eastAsia="Arial" w:hAnsi="Arial" w:cs="Arial"/>
      <w:i/>
      <w:iCs/>
      <w:color w:val="272727" w:themeColor="text1" w:themeTint="D8"/>
    </w:rPr>
  </w:style>
  <w:style w:type="character" w:customStyle="1" w:styleId="a3">
    <w:name w:val="Заголовок Знак"/>
    <w:basedOn w:val="a0"/>
    <w:link w:val="a4"/>
    <w:uiPriority w:val="10"/>
    <w:qFormat/>
    <w:rPr>
      <w:rFonts w:ascii="Arial" w:eastAsia="Arial" w:hAnsi="Arial" w:cs="Arial"/>
      <w:spacing w:val="-10"/>
      <w:sz w:val="56"/>
      <w:szCs w:val="56"/>
    </w:rPr>
  </w:style>
  <w:style w:type="character" w:customStyle="1" w:styleId="a5">
    <w:name w:val="Подзаголовок Знак"/>
    <w:basedOn w:val="a0"/>
    <w:link w:val="a6"/>
    <w:uiPriority w:val="11"/>
    <w:qFormat/>
    <w:rPr>
      <w:color w:val="595959" w:themeColor="text1" w:themeTint="A6"/>
      <w:spacing w:val="15"/>
      <w:sz w:val="28"/>
      <w:szCs w:val="28"/>
    </w:rPr>
  </w:style>
  <w:style w:type="character" w:customStyle="1" w:styleId="21">
    <w:name w:val="Цитата 2 Знак"/>
    <w:basedOn w:val="a0"/>
    <w:link w:val="22"/>
    <w:uiPriority w:val="29"/>
    <w:qFormat/>
    <w:rPr>
      <w:i/>
      <w:iCs/>
      <w:color w:val="404040" w:themeColor="text1" w:themeTint="BF"/>
    </w:rPr>
  </w:style>
  <w:style w:type="character" w:styleId="a7">
    <w:name w:val="Intense Emphasis"/>
    <w:basedOn w:val="a0"/>
    <w:uiPriority w:val="21"/>
    <w:qFormat/>
    <w:rPr>
      <w:i/>
      <w:iCs/>
      <w:color w:val="365F91" w:themeColor="accent1" w:themeShade="BF"/>
    </w:rPr>
  </w:style>
  <w:style w:type="character" w:customStyle="1" w:styleId="a8">
    <w:name w:val="Выделенная цитата Знак"/>
    <w:basedOn w:val="a0"/>
    <w:link w:val="a9"/>
    <w:uiPriority w:val="30"/>
    <w:qFormat/>
    <w:rPr>
      <w:i/>
      <w:iCs/>
      <w:color w:val="365F91" w:themeColor="accent1" w:themeShade="BF"/>
    </w:rPr>
  </w:style>
  <w:style w:type="character" w:styleId="aa">
    <w:name w:val="Intense Reference"/>
    <w:basedOn w:val="a0"/>
    <w:uiPriority w:val="32"/>
    <w:qFormat/>
    <w:rPr>
      <w:b/>
      <w:bCs/>
      <w:smallCaps/>
      <w:color w:val="365F91" w:themeColor="accent1" w:themeShade="BF"/>
      <w:spacing w:val="5"/>
    </w:rPr>
  </w:style>
  <w:style w:type="character" w:styleId="ab">
    <w:name w:val="Subtle Emphasis"/>
    <w:basedOn w:val="a0"/>
    <w:uiPriority w:val="19"/>
    <w:qFormat/>
    <w:rPr>
      <w:i/>
      <w:iCs/>
      <w:color w:val="404040" w:themeColor="text1" w:themeTint="BF"/>
    </w:rPr>
  </w:style>
  <w:style w:type="character" w:styleId="ac">
    <w:name w:val="Emphasis"/>
    <w:basedOn w:val="a0"/>
    <w:uiPriority w:val="20"/>
    <w:qFormat/>
    <w:rPr>
      <w:i/>
      <w:iCs/>
    </w:rPr>
  </w:style>
  <w:style w:type="character" w:styleId="ad">
    <w:name w:val="Strong"/>
    <w:basedOn w:val="a0"/>
    <w:uiPriority w:val="22"/>
    <w:qFormat/>
    <w:rPr>
      <w:b/>
      <w:bCs/>
    </w:rPr>
  </w:style>
  <w:style w:type="character" w:styleId="ae">
    <w:name w:val="Subtle Reference"/>
    <w:basedOn w:val="a0"/>
    <w:uiPriority w:val="31"/>
    <w:qFormat/>
    <w:rPr>
      <w:smallCaps/>
      <w:color w:val="5A5A5A" w:themeColor="text1" w:themeTint="A5"/>
    </w:rPr>
  </w:style>
  <w:style w:type="character" w:styleId="af">
    <w:name w:val="Book Title"/>
    <w:basedOn w:val="a0"/>
    <w:uiPriority w:val="33"/>
    <w:qFormat/>
    <w:rPr>
      <w:b/>
      <w:bCs/>
      <w:i/>
      <w:iCs/>
      <w:spacing w:val="5"/>
    </w:rPr>
  </w:style>
  <w:style w:type="character" w:customStyle="1" w:styleId="af0">
    <w:name w:val="Верхний колонтитул Знак"/>
    <w:basedOn w:val="a0"/>
    <w:link w:val="af1"/>
    <w:uiPriority w:val="99"/>
    <w:qFormat/>
  </w:style>
  <w:style w:type="character" w:customStyle="1" w:styleId="af2">
    <w:name w:val="Нижний колонтитул Знак"/>
    <w:basedOn w:val="a0"/>
    <w:link w:val="af3"/>
    <w:uiPriority w:val="99"/>
    <w:qFormat/>
  </w:style>
  <w:style w:type="character" w:customStyle="1" w:styleId="af4">
    <w:name w:val="Текст сноски Знак"/>
    <w:basedOn w:val="a0"/>
    <w:link w:val="af5"/>
    <w:uiPriority w:val="99"/>
    <w:semiHidden/>
    <w:qFormat/>
    <w:rPr>
      <w:sz w:val="20"/>
      <w:szCs w:val="20"/>
    </w:rPr>
  </w:style>
  <w:style w:type="character" w:customStyle="1" w:styleId="af6">
    <w:name w:val="Символ сноски"/>
    <w:uiPriority w:val="99"/>
    <w:semiHidden/>
    <w:unhideWhenUsed/>
    <w:qFormat/>
    <w:rPr>
      <w:vertAlign w:val="superscript"/>
    </w:rPr>
  </w:style>
  <w:style w:type="character" w:customStyle="1" w:styleId="user">
    <w:name w:val="Символ сноски (user)"/>
    <w:qFormat/>
    <w:rPr>
      <w:vertAlign w:val="superscript"/>
    </w:rPr>
  </w:style>
  <w:style w:type="character" w:styleId="af7">
    <w:name w:val="footnote reference"/>
    <w:rPr>
      <w:vertAlign w:val="superscript"/>
    </w:rPr>
  </w:style>
  <w:style w:type="character" w:customStyle="1" w:styleId="af8">
    <w:name w:val="Текст концевой сноски Знак"/>
    <w:basedOn w:val="a0"/>
    <w:link w:val="af9"/>
    <w:uiPriority w:val="99"/>
    <w:semiHidden/>
    <w:qFormat/>
    <w:rPr>
      <w:sz w:val="20"/>
      <w:szCs w:val="20"/>
    </w:rPr>
  </w:style>
  <w:style w:type="character" w:customStyle="1" w:styleId="afa">
    <w:name w:val="Символ концевой сноски"/>
    <w:uiPriority w:val="99"/>
    <w:semiHidden/>
    <w:unhideWhenUsed/>
    <w:qFormat/>
    <w:rPr>
      <w:vertAlign w:val="superscript"/>
    </w:rPr>
  </w:style>
  <w:style w:type="character" w:customStyle="1" w:styleId="user0">
    <w:name w:val="Символ концевой сноски (user)"/>
    <w:qFormat/>
    <w:rPr>
      <w:vertAlign w:val="superscript"/>
    </w:rPr>
  </w:style>
  <w:style w:type="character" w:styleId="afb">
    <w:name w:val="endnote reference"/>
    <w:rPr>
      <w:vertAlign w:val="superscript"/>
    </w:rPr>
  </w:style>
  <w:style w:type="character" w:styleId="afc">
    <w:name w:val="Hyperlink"/>
    <w:basedOn w:val="a0"/>
    <w:uiPriority w:val="99"/>
    <w:unhideWhenUsed/>
    <w:rPr>
      <w:color w:val="0000FF" w:themeColor="hyperlink"/>
      <w:u w:val="single"/>
    </w:rPr>
  </w:style>
  <w:style w:type="character" w:styleId="afd">
    <w:name w:val="FollowedHyperlink"/>
    <w:basedOn w:val="a0"/>
    <w:uiPriority w:val="99"/>
    <w:semiHidden/>
    <w:unhideWhenUsed/>
    <w:rPr>
      <w:color w:val="800080" w:themeColor="followedHyperlink"/>
      <w:u w:val="single"/>
    </w:rPr>
  </w:style>
  <w:style w:type="character" w:styleId="afe">
    <w:name w:val="Placeholder Text"/>
    <w:basedOn w:val="a0"/>
    <w:uiPriority w:val="99"/>
    <w:semiHidden/>
    <w:qFormat/>
    <w:rPr>
      <w:color w:val="666666"/>
    </w:rPr>
  </w:style>
  <w:style w:type="character" w:styleId="aff">
    <w:name w:val="annotation reference"/>
    <w:basedOn w:val="a0"/>
    <w:uiPriority w:val="99"/>
    <w:semiHidden/>
    <w:unhideWhenUsed/>
    <w:qFormat/>
    <w:rPr>
      <w:sz w:val="16"/>
      <w:szCs w:val="16"/>
    </w:rPr>
  </w:style>
  <w:style w:type="character" w:customStyle="1" w:styleId="aff0">
    <w:name w:val="Текст примечания Знак"/>
    <w:basedOn w:val="a0"/>
    <w:link w:val="aff1"/>
    <w:uiPriority w:val="99"/>
    <w:semiHidden/>
    <w:qFormat/>
    <w:rPr>
      <w:sz w:val="20"/>
      <w:szCs w:val="20"/>
    </w:rPr>
  </w:style>
  <w:style w:type="character" w:customStyle="1" w:styleId="aff2">
    <w:name w:val="Тема примечания Знак"/>
    <w:basedOn w:val="aff0"/>
    <w:link w:val="aff3"/>
    <w:uiPriority w:val="99"/>
    <w:semiHidden/>
    <w:qFormat/>
    <w:rPr>
      <w:b/>
      <w:bCs/>
      <w:sz w:val="20"/>
      <w:szCs w:val="20"/>
    </w:rPr>
  </w:style>
  <w:style w:type="character" w:styleId="aff4">
    <w:name w:val="line number"/>
  </w:style>
  <w:style w:type="character" w:customStyle="1" w:styleId="aff5">
    <w:name w:val="Маркеры"/>
    <w:qFormat/>
    <w:rPr>
      <w:rFonts w:ascii="OpenSymbol" w:eastAsia="OpenSymbol" w:hAnsi="OpenSymbol" w:cs="OpenSymbol"/>
    </w:rPr>
  </w:style>
  <w:style w:type="paragraph" w:styleId="a4">
    <w:name w:val="Title"/>
    <w:basedOn w:val="a"/>
    <w:next w:val="aff6"/>
    <w:link w:val="a3"/>
    <w:uiPriority w:val="10"/>
    <w:qFormat/>
    <w:pPr>
      <w:keepNext/>
      <w:keepLines/>
      <w:spacing w:after="60"/>
    </w:pPr>
    <w:rPr>
      <w:sz w:val="52"/>
      <w:szCs w:val="52"/>
    </w:rPr>
  </w:style>
  <w:style w:type="paragraph" w:styleId="aff6">
    <w:name w:val="Body Text"/>
    <w:basedOn w:val="a"/>
    <w:pPr>
      <w:spacing w:after="140" w:line="276" w:lineRule="auto"/>
    </w:pPr>
  </w:style>
  <w:style w:type="paragraph" w:styleId="aff7">
    <w:name w:val="List"/>
    <w:basedOn w:val="aff6"/>
    <w:rPr>
      <w:rFonts w:cs="FreeSans"/>
    </w:rPr>
  </w:style>
  <w:style w:type="paragraph" w:styleId="aff8">
    <w:name w:val="caption"/>
    <w:basedOn w:val="a"/>
    <w:next w:val="a"/>
    <w:uiPriority w:val="35"/>
    <w:unhideWhenUsed/>
    <w:qFormat/>
    <w:pPr>
      <w:spacing w:after="200"/>
    </w:pPr>
    <w:rPr>
      <w:i/>
      <w:iCs/>
      <w:color w:val="1F497D" w:themeColor="text2"/>
      <w:sz w:val="18"/>
      <w:szCs w:val="18"/>
    </w:rPr>
  </w:style>
  <w:style w:type="paragraph" w:styleId="aff9">
    <w:name w:val="index heading"/>
    <w:basedOn w:val="a4"/>
  </w:style>
  <w:style w:type="paragraph" w:customStyle="1" w:styleId="user1">
    <w:name w:val="Заголовок (user)"/>
    <w:basedOn w:val="a"/>
    <w:next w:val="aff6"/>
    <w:qFormat/>
    <w:pPr>
      <w:keepNext/>
      <w:spacing w:before="240" w:after="120"/>
    </w:pPr>
    <w:rPr>
      <w:rFonts w:ascii="Liberation Sans" w:eastAsia="Noto Sans" w:hAnsi="Liberation Sans" w:cs="FreeSans"/>
      <w:sz w:val="28"/>
      <w:szCs w:val="28"/>
    </w:rPr>
  </w:style>
  <w:style w:type="paragraph" w:customStyle="1" w:styleId="user2">
    <w:name w:val="Указатель (user)"/>
    <w:basedOn w:val="a"/>
    <w:qFormat/>
    <w:pPr>
      <w:suppressLineNumbers/>
    </w:pPr>
    <w:rPr>
      <w:rFonts w:cs="FreeSans"/>
    </w:rPr>
  </w:style>
  <w:style w:type="paragraph" w:styleId="22">
    <w:name w:val="Quote"/>
    <w:basedOn w:val="a"/>
    <w:next w:val="a"/>
    <w:link w:val="21"/>
    <w:uiPriority w:val="29"/>
    <w:qFormat/>
    <w:pPr>
      <w:spacing w:before="160"/>
      <w:jc w:val="center"/>
    </w:pPr>
    <w:rPr>
      <w:i/>
      <w:iCs/>
      <w:color w:val="404040" w:themeColor="text1" w:themeTint="BF"/>
    </w:rPr>
  </w:style>
  <w:style w:type="paragraph" w:styleId="a9">
    <w:name w:val="Intense Quote"/>
    <w:basedOn w:val="a"/>
    <w:next w:val="a"/>
    <w:link w:val="a8"/>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styleId="affa">
    <w:name w:val="No Spacing"/>
    <w:basedOn w:val="a"/>
    <w:uiPriority w:val="1"/>
    <w:qFormat/>
  </w:style>
  <w:style w:type="paragraph" w:customStyle="1" w:styleId="affb">
    <w:name w:val="Колонтитулы"/>
    <w:basedOn w:val="a"/>
    <w:qFormat/>
  </w:style>
  <w:style w:type="paragraph" w:customStyle="1" w:styleId="user3">
    <w:name w:val="Колонтитулы (user)"/>
    <w:basedOn w:val="a"/>
    <w:qFormat/>
  </w:style>
  <w:style w:type="paragraph" w:styleId="af1">
    <w:name w:val="header"/>
    <w:basedOn w:val="a"/>
    <w:link w:val="af0"/>
    <w:uiPriority w:val="99"/>
    <w:unhideWhenUsed/>
    <w:pPr>
      <w:tabs>
        <w:tab w:val="center" w:pos="4844"/>
        <w:tab w:val="right" w:pos="9689"/>
      </w:tabs>
    </w:pPr>
  </w:style>
  <w:style w:type="paragraph" w:styleId="af3">
    <w:name w:val="footer"/>
    <w:basedOn w:val="a"/>
    <w:link w:val="af2"/>
    <w:uiPriority w:val="99"/>
    <w:unhideWhenUsed/>
    <w:pPr>
      <w:tabs>
        <w:tab w:val="center" w:pos="4844"/>
        <w:tab w:val="right" w:pos="9689"/>
      </w:tabs>
    </w:pPr>
  </w:style>
  <w:style w:type="paragraph" w:styleId="af5">
    <w:name w:val="footnote text"/>
    <w:basedOn w:val="a"/>
    <w:link w:val="af4"/>
    <w:uiPriority w:val="99"/>
    <w:semiHidden/>
    <w:unhideWhenUsed/>
    <w:rPr>
      <w:szCs w:val="20"/>
    </w:rPr>
  </w:style>
  <w:style w:type="paragraph" w:styleId="af9">
    <w:name w:val="endnote text"/>
    <w:basedOn w:val="a"/>
    <w:link w:val="af8"/>
    <w:uiPriority w:val="99"/>
    <w:semiHidden/>
    <w:unhideWhenUsed/>
    <w:rPr>
      <w:szCs w:val="20"/>
    </w:rPr>
  </w:style>
  <w:style w:type="paragraph" w:styleId="11">
    <w:name w:val="toc 1"/>
    <w:basedOn w:val="a"/>
    <w:next w:val="a"/>
    <w:uiPriority w:val="39"/>
    <w:unhideWhenUsed/>
    <w:pPr>
      <w:spacing w:after="100"/>
    </w:pPr>
  </w:style>
  <w:style w:type="paragraph" w:styleId="23">
    <w:name w:val="toc 2"/>
    <w:basedOn w:val="a"/>
    <w:next w:val="a"/>
    <w:uiPriority w:val="39"/>
    <w:unhideWhenUsed/>
    <w:pPr>
      <w:spacing w:after="100"/>
      <w:ind w:left="220"/>
    </w:pPr>
  </w:style>
  <w:style w:type="paragraph" w:styleId="31">
    <w:name w:val="toc 3"/>
    <w:basedOn w:val="a"/>
    <w:next w:val="a"/>
    <w:uiPriority w:val="39"/>
    <w:unhideWhenUsed/>
    <w:pPr>
      <w:spacing w:after="100"/>
      <w:ind w:left="440"/>
    </w:pPr>
  </w:style>
  <w:style w:type="paragraph" w:styleId="41">
    <w:name w:val="toc 4"/>
    <w:basedOn w:val="a"/>
    <w:next w:val="a"/>
    <w:uiPriority w:val="39"/>
    <w:unhideWhenUsed/>
    <w:pPr>
      <w:spacing w:after="100"/>
      <w:ind w:left="660"/>
    </w:pPr>
  </w:style>
  <w:style w:type="paragraph" w:styleId="51">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paragraph" w:styleId="affc">
    <w:name w:val="TOC Heading"/>
    <w:uiPriority w:val="39"/>
    <w:unhideWhenUsed/>
    <w:qFormat/>
    <w:pPr>
      <w:spacing w:line="276" w:lineRule="auto"/>
    </w:pPr>
  </w:style>
  <w:style w:type="paragraph" w:styleId="affd">
    <w:name w:val="table of figures"/>
    <w:basedOn w:val="a"/>
    <w:next w:val="a"/>
    <w:uiPriority w:val="99"/>
    <w:unhideWhenUsed/>
  </w:style>
  <w:style w:type="paragraph" w:styleId="a6">
    <w:name w:val="Subtitle"/>
    <w:basedOn w:val="a"/>
    <w:next w:val="a"/>
    <w:link w:val="a5"/>
    <w:uiPriority w:val="11"/>
    <w:qFormat/>
    <w:pPr>
      <w:keepNext/>
      <w:keepLines/>
      <w:spacing w:after="320"/>
    </w:pPr>
    <w:rPr>
      <w:color w:val="666666"/>
      <w:sz w:val="30"/>
      <w:szCs w:val="30"/>
    </w:rPr>
  </w:style>
  <w:style w:type="paragraph" w:styleId="affe">
    <w:name w:val="List Paragraph"/>
    <w:basedOn w:val="a"/>
    <w:uiPriority w:val="34"/>
    <w:qFormat/>
    <w:pPr>
      <w:ind w:left="720"/>
      <w:contextualSpacing/>
    </w:pPr>
  </w:style>
  <w:style w:type="paragraph" w:styleId="afff">
    <w:name w:val="Revision"/>
    <w:uiPriority w:val="99"/>
    <w:semiHidden/>
    <w:qFormat/>
  </w:style>
  <w:style w:type="paragraph" w:styleId="aff1">
    <w:name w:val="annotation text"/>
    <w:basedOn w:val="a"/>
    <w:link w:val="aff0"/>
    <w:uiPriority w:val="99"/>
    <w:semiHidden/>
    <w:unhideWhenUsed/>
    <w:rPr>
      <w:szCs w:val="20"/>
    </w:rPr>
  </w:style>
  <w:style w:type="paragraph" w:styleId="aff3">
    <w:name w:val="annotation subject"/>
    <w:basedOn w:val="aff1"/>
    <w:next w:val="aff1"/>
    <w:link w:val="aff2"/>
    <w:uiPriority w:val="99"/>
    <w:semiHidden/>
    <w:unhideWhenUsed/>
    <w:qFormat/>
    <w:rPr>
      <w:b/>
      <w:bCs/>
    </w:rPr>
  </w:style>
  <w:style w:type="paragraph" w:styleId="afff0">
    <w:name w:val="Bibliography"/>
    <w:basedOn w:val="a"/>
    <w:next w:val="a"/>
    <w:uiPriority w:val="37"/>
    <w:unhideWhenUsed/>
    <w:qFormat/>
    <w:pPr>
      <w:ind w:left="0" w:firstLine="284"/>
    </w:pPr>
  </w:style>
  <w:style w:type="paragraph" w:customStyle="1" w:styleId="12">
    <w:name w:val="Библиография 1"/>
    <w:basedOn w:val="aff9"/>
    <w:qFormat/>
    <w:pPr>
      <w:spacing w:after="0"/>
      <w:ind w:firstLine="0"/>
    </w:pPr>
    <w:rPr>
      <w:rFonts w:eastAsia="DejaVu Sans Condensed"/>
      <w:sz w:val="20"/>
    </w:rPr>
  </w:style>
  <w:style w:type="paragraph" w:customStyle="1" w:styleId="afff1">
    <w:name w:val="_Заголовок"/>
    <w:basedOn w:val="1"/>
    <w:qFormat/>
    <w:pPr>
      <w:spacing w:before="0" w:after="0"/>
      <w:jc w:val="center"/>
    </w:pPr>
    <w:rPr>
      <w:sz w:val="20"/>
    </w:rPr>
  </w:style>
  <w:style w:type="numbering" w:customStyle="1" w:styleId="afff2">
    <w:name w:val="Без списка"/>
    <w:uiPriority w:val="99"/>
    <w:semiHidden/>
    <w:unhideWhenUsed/>
    <w:qFormat/>
  </w:style>
  <w:style w:type="table" w:styleId="afff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3">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24">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1"/>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42">
    <w:name w:val="Plain Table 4"/>
    <w:basedOn w:val="a1"/>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52">
    <w:name w:val="Plain Table 5"/>
    <w:basedOn w:val="a1"/>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rPr>
      <w:tblPr/>
      <w:tcPr>
        <w:tcBorders>
          <w:bottom w:val="single" w:sz="12" w:space="0" w:color="4F81BD"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rPr>
      <w:tblPr/>
      <w:tcPr>
        <w:tcBorders>
          <w:bottom w:val="single" w:sz="12" w:space="0" w:color="C0504D"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rPr>
      <w:tblPr/>
      <w:tcPr>
        <w:tcBorders>
          <w:bottom w:val="single" w:sz="12" w:space="0" w:color="9BBB59"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rPr>
      <w:tblPr/>
      <w:tcPr>
        <w:tcBorders>
          <w:bottom w:val="single" w:sz="12" w:space="0" w:color="8064A2"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rPr>
      <w:tblPr/>
      <w:tcPr>
        <w:tcBorders>
          <w:bottom w:val="single" w:sz="12" w:space="0" w:color="4BACC6"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rPr>
      <w:tblPr/>
      <w:tcPr>
        <w:tcBorders>
          <w:bottom w:val="single" w:sz="12" w:space="0" w:color="F79646"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rPr>
      <w:tblPr/>
      <w:tcPr>
        <w:tcBorders>
          <w:top w:val="none" w:sz="4" w:space="0" w:color="000000"/>
          <w:left w:val="none" w:sz="4" w:space="0" w:color="000000"/>
          <w:bottom w:val="single" w:sz="12" w:space="0" w:color="4F81BD" w:themeColor="accent1"/>
          <w:right w:val="none" w:sz="4" w:space="0" w:color="000000"/>
        </w:tcBorders>
        <w:shd w:val="clear" w:color="FFFFFF" w:fill="auto"/>
      </w:tcPr>
    </w:tblStylePr>
    <w:tblStylePr w:type="lastRow">
      <w:rPr>
        <w:b/>
      </w:rPr>
      <w:tblPr/>
      <w:tcPr>
        <w:tcBorders>
          <w:top w:val="single" w:sz="4" w:space="0" w:color="4F81BD"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rPr>
      <w:tblPr/>
      <w:tcPr>
        <w:tcBorders>
          <w:top w:val="none" w:sz="4" w:space="0" w:color="000000"/>
          <w:left w:val="none" w:sz="4" w:space="0" w:color="000000"/>
          <w:bottom w:val="single" w:sz="12" w:space="0" w:color="C0504D" w:themeColor="accent2"/>
          <w:right w:val="none" w:sz="4" w:space="0" w:color="000000"/>
        </w:tcBorders>
        <w:shd w:val="clear" w:color="FFFFFF" w:fill="auto"/>
      </w:tcPr>
    </w:tblStylePr>
    <w:tblStylePr w:type="lastRow">
      <w:rPr>
        <w:b/>
      </w:rPr>
      <w:tblPr/>
      <w:tcPr>
        <w:tcBorders>
          <w:top w:val="single" w:sz="4" w:space="0" w:color="C0504D"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rPr>
      <w:tblPr/>
      <w:tcPr>
        <w:tcBorders>
          <w:top w:val="none" w:sz="4" w:space="0" w:color="000000"/>
          <w:left w:val="none" w:sz="4" w:space="0" w:color="000000"/>
          <w:bottom w:val="single" w:sz="12" w:space="0" w:color="9BBB59" w:themeColor="accent3"/>
          <w:right w:val="none" w:sz="4" w:space="0" w:color="000000"/>
        </w:tcBorders>
        <w:shd w:val="clear" w:color="FFFFFF" w:fill="auto"/>
      </w:tcPr>
    </w:tblStylePr>
    <w:tblStylePr w:type="lastRow">
      <w:rPr>
        <w:b/>
      </w:rPr>
      <w:tblPr/>
      <w:tcPr>
        <w:tcBorders>
          <w:top w:val="single" w:sz="4" w:space="0" w:color="9BBB59"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rPr>
      <w:tblPr/>
      <w:tcPr>
        <w:tcBorders>
          <w:top w:val="none" w:sz="4" w:space="0" w:color="000000"/>
          <w:left w:val="none" w:sz="4" w:space="0" w:color="000000"/>
          <w:bottom w:val="single" w:sz="12" w:space="0" w:color="8064A2" w:themeColor="accent4"/>
          <w:right w:val="none" w:sz="4" w:space="0" w:color="000000"/>
        </w:tcBorders>
        <w:shd w:val="clear" w:color="FFFFFF" w:fill="auto"/>
      </w:tcPr>
    </w:tblStylePr>
    <w:tblStylePr w:type="lastRow">
      <w:rPr>
        <w:b/>
      </w:rPr>
      <w:tblPr/>
      <w:tcPr>
        <w:tcBorders>
          <w:top w:val="single" w:sz="4" w:space="0" w:color="8064A2"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b/>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5D8AC2" w:fill="5D8AC2" w:themeFill="accent1" w:themeFillTint="EA"/>
      </w:tcPr>
    </w:tblStylePr>
    <w:tblStylePr w:type="lastRow">
      <w:rPr>
        <w:b/>
      </w:rPr>
      <w:tblPr/>
      <w:tcPr>
        <w:tcBorders>
          <w:top w:val="single" w:sz="4" w:space="0" w:color="4F81BD" w:themeColor="accent1"/>
        </w:tcBorders>
      </w:tcPr>
    </w:tblStylePr>
    <w:tblStylePr w:type="firstCol">
      <w:rPr>
        <w:b/>
      </w:rPr>
    </w:tblStylePr>
    <w:tblStylePr w:type="lastCol">
      <w:rPr>
        <w:b/>
      </w:rPr>
    </w:tblStylePr>
    <w:tblStylePr w:type="band1Vert">
      <w:rPr>
        <w:sz w:val="22"/>
      </w:rPr>
      <w:tblPr/>
      <w:tcPr>
        <w:shd w:val="clear" w:color="DCE6F2" w:fill="DCE6F2" w:themeFill="accent1" w:themeFillTint="32"/>
      </w:tcPr>
    </w:tblStylePr>
    <w:tblStylePr w:type="band1Horz">
      <w:rPr>
        <w:sz w:val="22"/>
      </w:rPr>
      <w:tblPr/>
      <w:tcPr>
        <w:shd w:val="clear" w:color="DCE6F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b/>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D99695" w:fill="D99695" w:themeFill="accent2" w:themeFillTint="97"/>
      </w:tcPr>
    </w:tblStylePr>
    <w:tblStylePr w:type="lastRow">
      <w:rPr>
        <w:b/>
      </w:rPr>
      <w:tblPr/>
      <w:tcPr>
        <w:tcBorders>
          <w:top w:val="single" w:sz="4" w:space="0" w:color="C0504D" w:themeColor="accent2"/>
        </w:tcBorders>
      </w:tcPr>
    </w:tblStylePr>
    <w:tblStylePr w:type="firstCol">
      <w:rPr>
        <w:b/>
      </w:rPr>
    </w:tblStylePr>
    <w:tblStylePr w:type="lastCol">
      <w:rPr>
        <w:b/>
      </w:r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b/>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shd w:val="clear" w:color="9ABB59" w:fill="9ABB59" w:themeFill="accent3" w:themeFillTint="FE"/>
      </w:tcPr>
    </w:tblStylePr>
    <w:tblStylePr w:type="lastRow">
      <w:rPr>
        <w:b/>
      </w:rPr>
      <w:tblPr/>
      <w:tcPr>
        <w:tcBorders>
          <w:top w:val="single" w:sz="4" w:space="0" w:color="9BBB59" w:themeColor="accent3"/>
        </w:tcBorders>
      </w:tcPr>
    </w:tblStylePr>
    <w:tblStylePr w:type="firstCol">
      <w:rPr>
        <w:b/>
      </w:rPr>
    </w:tblStylePr>
    <w:tblStylePr w:type="lastCol">
      <w:rPr>
        <w:b/>
      </w:r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b/>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B2A1C6" w:fill="B2A1C6" w:themeFill="accent4" w:themeFillTint="9A"/>
      </w:tcPr>
    </w:tblStylePr>
    <w:tblStylePr w:type="lastRow">
      <w:rPr>
        <w:b/>
      </w:rPr>
      <w:tblPr/>
      <w:tcPr>
        <w:tcBorders>
          <w:top w:val="single" w:sz="4" w:space="0" w:color="8064A2" w:themeColor="accent4"/>
        </w:tcBorders>
      </w:tcPr>
    </w:tblStylePr>
    <w:tblStylePr w:type="firstCol">
      <w:rPr>
        <w:b/>
      </w:rPr>
    </w:tblStylePr>
    <w:tblStylePr w:type="lastCol">
      <w:rPr>
        <w:b/>
      </w:r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fill="4BACC6" w:themeFill="accent5"/>
      </w:tcPr>
    </w:tblStylePr>
    <w:tblStylePr w:type="lastRow">
      <w:rPr>
        <w:b/>
      </w:rPr>
      <w:tblPr/>
      <w:tcPr>
        <w:tcBorders>
          <w:top w:val="single" w:sz="4" w:space="0" w:color="4BACC6" w:themeColor="accent5"/>
        </w:tcBorders>
      </w:tcPr>
    </w:tblStylePr>
    <w:tblStylePr w:type="firstCol">
      <w:rPr>
        <w:b/>
      </w:rPr>
    </w:tblStylePr>
    <w:tblStylePr w:type="lastCol">
      <w:rPr>
        <w:b/>
      </w:r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fill="F79646" w:themeFill="accent6"/>
      </w:tcPr>
    </w:tblStylePr>
    <w:tblStylePr w:type="lastRow">
      <w:rPr>
        <w:b/>
      </w:rPr>
      <w:tblPr/>
      <w:tcPr>
        <w:tcBorders>
          <w:top w:val="single" w:sz="4" w:space="0" w:color="F79646" w:themeColor="accent6"/>
        </w:tcBorders>
      </w:tcPr>
    </w:tblStylePr>
    <w:tblStylePr w:type="firstCol">
      <w:rPr>
        <w:b/>
      </w:rPr>
    </w:tblStylePr>
    <w:tblStylePr w:type="lastCol">
      <w:rPr>
        <w:b/>
      </w:r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F81BD" w:fill="4F81BD" w:themeFill="accent1"/>
      </w:tcPr>
    </w:tblStylePr>
    <w:tblStylePr w:type="lastRow">
      <w:rPr>
        <w:b/>
        <w:sz w:val="22"/>
      </w:rPr>
      <w:tblPr/>
      <w:tcPr>
        <w:tcBorders>
          <w:top w:val="single" w:sz="4" w:space="0" w:color="FFFFFF" w:themeColor="light1"/>
        </w:tcBorders>
        <w:shd w:val="clear" w:color="4F81BD" w:fill="4F81BD" w:themeFill="accent1"/>
      </w:tcPr>
    </w:tblStylePr>
    <w:tblStylePr w:type="firstCol">
      <w:rPr>
        <w:b/>
        <w:sz w:val="22"/>
      </w:rPr>
      <w:tblPr/>
      <w:tcPr>
        <w:shd w:val="clear" w:color="4F81BD" w:fill="4F81BD" w:themeFill="accent1"/>
      </w:tcPr>
    </w:tblStylePr>
    <w:tblStylePr w:type="lastCol">
      <w:rPr>
        <w:b/>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C0504D" w:fill="C0504D" w:themeFill="accent2"/>
      </w:tcPr>
    </w:tblStylePr>
    <w:tblStylePr w:type="lastRow">
      <w:rPr>
        <w:b/>
        <w:sz w:val="22"/>
      </w:rPr>
      <w:tblPr/>
      <w:tcPr>
        <w:tcBorders>
          <w:top w:val="single" w:sz="4" w:space="0" w:color="FFFFFF" w:themeColor="light1"/>
        </w:tcBorders>
        <w:shd w:val="clear" w:color="C0504D" w:fill="C0504D" w:themeFill="accent2"/>
      </w:tcPr>
    </w:tblStylePr>
    <w:tblStylePr w:type="firstCol">
      <w:rPr>
        <w:b/>
        <w:sz w:val="22"/>
      </w:rPr>
      <w:tblPr/>
      <w:tcPr>
        <w:shd w:val="clear" w:color="C0504D" w:fill="C0504D" w:themeFill="accent2"/>
      </w:tcPr>
    </w:tblStylePr>
    <w:tblStylePr w:type="lastCol">
      <w:rPr>
        <w:b/>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9BBB59" w:fill="9BBB59" w:themeFill="accent3"/>
      </w:tcPr>
    </w:tblStylePr>
    <w:tblStylePr w:type="lastRow">
      <w:rPr>
        <w:b/>
        <w:sz w:val="22"/>
      </w:rPr>
      <w:tblPr/>
      <w:tcPr>
        <w:tcBorders>
          <w:top w:val="single" w:sz="4" w:space="0" w:color="FFFFFF" w:themeColor="light1"/>
        </w:tcBorders>
        <w:shd w:val="clear" w:color="9BBB59" w:fill="9BBB59" w:themeFill="accent3"/>
      </w:tcPr>
    </w:tblStylePr>
    <w:tblStylePr w:type="firstCol">
      <w:rPr>
        <w:b/>
        <w:sz w:val="22"/>
      </w:rPr>
      <w:tblPr/>
      <w:tcPr>
        <w:shd w:val="clear" w:color="9BBB59" w:fill="9BBB59" w:themeFill="accent3"/>
      </w:tcPr>
    </w:tblStylePr>
    <w:tblStylePr w:type="lastCol">
      <w:rPr>
        <w:b/>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8064A2" w:fill="8064A2" w:themeFill="accent4"/>
      </w:tcPr>
    </w:tblStylePr>
    <w:tblStylePr w:type="lastRow">
      <w:rPr>
        <w:b/>
        <w:sz w:val="22"/>
      </w:rPr>
      <w:tblPr/>
      <w:tcPr>
        <w:tcBorders>
          <w:top w:val="single" w:sz="4" w:space="0" w:color="FFFFFF" w:themeColor="light1"/>
        </w:tcBorders>
        <w:shd w:val="clear" w:color="8064A2" w:fill="8064A2" w:themeFill="accent4"/>
      </w:tcPr>
    </w:tblStylePr>
    <w:tblStylePr w:type="firstCol">
      <w:rPr>
        <w:b/>
        <w:sz w:val="22"/>
      </w:rPr>
      <w:tblPr/>
      <w:tcPr>
        <w:shd w:val="clear" w:color="8064A2" w:fill="8064A2" w:themeFill="accent4"/>
      </w:tcPr>
    </w:tblStylePr>
    <w:tblStylePr w:type="lastCol">
      <w:rPr>
        <w:b/>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BACC6" w:fill="4BACC6" w:themeFill="accent5"/>
      </w:tcPr>
    </w:tblStylePr>
    <w:tblStylePr w:type="lastRow">
      <w:rPr>
        <w:b/>
        <w:sz w:val="22"/>
      </w:rPr>
      <w:tblPr/>
      <w:tcPr>
        <w:tcBorders>
          <w:top w:val="single" w:sz="4" w:space="0" w:color="FFFFFF" w:themeColor="light1"/>
        </w:tcBorders>
        <w:shd w:val="clear" w:color="4BACC6" w:fill="4BACC6" w:themeFill="accent5"/>
      </w:tcPr>
    </w:tblStylePr>
    <w:tblStylePr w:type="firstCol">
      <w:rPr>
        <w:b/>
        <w:sz w:val="22"/>
      </w:rPr>
      <w:tblPr/>
      <w:tcPr>
        <w:shd w:val="clear" w:color="4BACC6" w:fill="4BACC6" w:themeFill="accent5"/>
      </w:tcPr>
    </w:tblStylePr>
    <w:tblStylePr w:type="lastCol">
      <w:rPr>
        <w:b/>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79646" w:fill="F79646" w:themeFill="accent6"/>
      </w:tcPr>
    </w:tblStylePr>
    <w:tblStylePr w:type="lastRow">
      <w:rPr>
        <w:b/>
        <w:sz w:val="22"/>
      </w:rPr>
      <w:tblPr/>
      <w:tcPr>
        <w:tcBorders>
          <w:top w:val="single" w:sz="4" w:space="0" w:color="FFFFFF" w:themeColor="light1"/>
        </w:tcBorders>
        <w:shd w:val="clear" w:color="F79646" w:fill="F79646" w:themeFill="accent6"/>
      </w:tcPr>
    </w:tblStylePr>
    <w:tblStylePr w:type="firstCol">
      <w:rPr>
        <w:b/>
        <w:sz w:val="22"/>
      </w:rPr>
      <w:tblPr/>
      <w:tcPr>
        <w:shd w:val="clear" w:color="F79646" w:fill="F79646" w:themeFill="accent6"/>
      </w:tcPr>
    </w:tblStylePr>
    <w:tblStylePr w:type="lastCol">
      <w:rPr>
        <w:b/>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4F81BD" w:themeColor="accent1"/>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C0504D" w:themeColor="accent2"/>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BBB59" w:themeColor="accent3"/>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8064A2" w:themeColor="accent4"/>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fill="FDE9D8" w:themeFill="accent6" w:themeFillTint="34"/>
      </w:tcPr>
    </w:tblStylePr>
    <w:tblStylePr w:type="band1Horz">
      <w:rPr>
        <w:color w:val="266779" w:themeColor="accent5" w:themeShade="95"/>
        <w:sz w:val="22"/>
      </w:rPr>
      <w:tblPr/>
      <w:tcPr>
        <w:shd w:val="clear" w:color="FDE9D8" w:fill="FDE9D8" w:themeFill="accent6" w:themeFillTint="34"/>
      </w:tcPr>
    </w:tblStylePr>
    <w:tblStylePr w:type="band2Horz">
      <w:rPr>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000000"/>
          <w:left w:val="none" w:sz="0" w:space="0" w:color="000000"/>
          <w:bottom w:val="single" w:sz="4" w:space="0" w:color="000000" w:themeColor="text1"/>
          <w:right w:val="none" w:sz="0"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000000"/>
          <w:left w:val="none" w:sz="0" w:space="0" w:color="000000"/>
          <w:bottom w:val="none" w:sz="0"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000000"/>
          <w:left w:val="single" w:sz="4" w:space="0" w:color="000000" w:themeColor="text1"/>
          <w:bottom w:val="none" w:sz="0" w:space="0" w:color="000000"/>
          <w:right w:val="none" w:sz="0" w:space="0" w:color="000000"/>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fill="FFFFFF" w:themeFill="light1"/>
      </w:tcPr>
    </w:tblStylePr>
    <w:tblStylePr w:type="lastRow">
      <w:rPr>
        <w:b/>
        <w:color w:val="A6BFDD" w:themeColor="accent1" w:themeTint="80"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A6BFDD" w:themeColor="accent1" w:themeTint="80"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i/>
        <w:color w:val="A6BFDD" w:themeColor="accent1" w:themeTint="80"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sz w:val="22"/>
      </w:rPr>
      <w:tblPr/>
      <w:tcPr>
        <w:tcBorders>
          <w:top w:val="none" w:sz="0" w:space="0" w:color="000000"/>
          <w:left w:val="none" w:sz="0" w:space="0" w:color="000000"/>
          <w:bottom w:val="single" w:sz="4" w:space="0" w:color="C0504D" w:themeColor="accent2"/>
          <w:right w:val="none" w:sz="0" w:space="0" w:color="000000"/>
        </w:tcBorders>
        <w:shd w:val="clear" w:color="FFFFFF" w:fill="FFFFFF" w:themeFill="light1"/>
      </w:tcPr>
    </w:tblStylePr>
    <w:tblStylePr w:type="lastRow">
      <w:rPr>
        <w:b/>
        <w:color w:val="D99695" w:themeColor="accent2" w:themeTint="97" w:themeShade="95"/>
        <w:sz w:val="22"/>
      </w:rPr>
      <w:tblPr/>
      <w:tcPr>
        <w:tcBorders>
          <w:top w:val="single" w:sz="4" w:space="0" w:color="C0504D" w:themeColor="accent2"/>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D99695" w:themeColor="accent2" w:themeTint="97" w:themeShade="95"/>
        <w:sz w:val="22"/>
      </w:rPr>
      <w:tblPr/>
      <w:tcPr>
        <w:tcBorders>
          <w:top w:val="none" w:sz="0" w:space="0" w:color="000000"/>
          <w:left w:val="none" w:sz="0" w:space="0" w:color="000000"/>
          <w:bottom w:val="none" w:sz="0" w:space="0" w:color="000000"/>
          <w:right w:val="single" w:sz="4" w:space="0" w:color="C0504D" w:themeColor="accent2"/>
        </w:tcBorders>
        <w:shd w:val="clear" w:color="FFFFFF" w:fill="auto"/>
      </w:tcPr>
    </w:tblStylePr>
    <w:tblStylePr w:type="lastCol">
      <w:rPr>
        <w:i/>
        <w:color w:val="D99695" w:themeColor="accent2" w:themeTint="97" w:themeShade="95"/>
        <w:sz w:val="22"/>
      </w:rPr>
      <w:tblPr/>
      <w:tcPr>
        <w:tcBorders>
          <w:top w:val="none" w:sz="0" w:space="0" w:color="000000"/>
          <w:left w:val="single" w:sz="4" w:space="0" w:color="C0504D" w:themeColor="accent2"/>
          <w:bottom w:val="none" w:sz="0" w:space="0" w:color="000000"/>
          <w:right w:val="none" w:sz="0" w:space="0" w:color="000000"/>
        </w:tcBorders>
        <w:shd w:val="clear" w:color="FFFFFF" w:fill="auto"/>
      </w:tc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sz w:val="22"/>
      </w:rPr>
      <w:tblPr/>
      <w:tcPr>
        <w:tcBorders>
          <w:top w:val="none" w:sz="0" w:space="0" w:color="000000"/>
          <w:left w:val="none" w:sz="0" w:space="0" w:color="000000"/>
          <w:bottom w:val="single" w:sz="4" w:space="0" w:color="9BBB59" w:themeColor="accent3"/>
          <w:right w:val="none" w:sz="0" w:space="0" w:color="000000"/>
        </w:tcBorders>
        <w:shd w:val="clear" w:color="FFFFFF" w:fill="FFFFFF" w:themeFill="light1"/>
      </w:tcPr>
    </w:tblStylePr>
    <w:tblStylePr w:type="lastRow">
      <w:rPr>
        <w:b/>
        <w:color w:val="9ABB59" w:themeColor="accent3" w:themeTint="FE" w:themeShade="95"/>
        <w:sz w:val="22"/>
      </w:rPr>
      <w:tblPr/>
      <w:tcPr>
        <w:tcBorders>
          <w:top w:val="single" w:sz="4" w:space="0" w:color="9BBB59" w:themeColor="accent3"/>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9ABB59" w:themeColor="accent3" w:themeTint="FE" w:themeShade="95"/>
        <w:sz w:val="22"/>
      </w:rPr>
      <w:tblPr/>
      <w:tcPr>
        <w:tcBorders>
          <w:top w:val="none" w:sz="0" w:space="0" w:color="000000"/>
          <w:left w:val="none" w:sz="0" w:space="0" w:color="000000"/>
          <w:bottom w:val="none" w:sz="0" w:space="0" w:color="000000"/>
          <w:right w:val="single" w:sz="4" w:space="0" w:color="9BBB59" w:themeColor="accent3"/>
        </w:tcBorders>
        <w:shd w:val="clear" w:color="FFFFFF" w:fill="auto"/>
      </w:tcPr>
    </w:tblStylePr>
    <w:tblStylePr w:type="lastCol">
      <w:rPr>
        <w:i/>
        <w:color w:val="9ABB59" w:themeColor="accent3" w:themeTint="FE" w:themeShade="95"/>
        <w:sz w:val="22"/>
      </w:rPr>
      <w:tblPr/>
      <w:tcPr>
        <w:tcBorders>
          <w:top w:val="none" w:sz="0" w:space="0" w:color="000000"/>
          <w:left w:val="single" w:sz="4" w:space="0" w:color="9BBB59" w:themeColor="accent3"/>
          <w:bottom w:val="none" w:sz="0" w:space="0" w:color="000000"/>
          <w:right w:val="none" w:sz="0" w:space="0" w:color="000000"/>
        </w:tcBorders>
        <w:shd w:val="clear" w:color="FFFFFF" w:fill="auto"/>
      </w:tc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sz w:val="22"/>
      </w:rPr>
      <w:tblPr/>
      <w:tcPr>
        <w:tcBorders>
          <w:top w:val="none" w:sz="0" w:space="0" w:color="000000"/>
          <w:left w:val="none" w:sz="0" w:space="0" w:color="000000"/>
          <w:bottom w:val="single" w:sz="4" w:space="0" w:color="8064A2" w:themeColor="accent4"/>
          <w:right w:val="none" w:sz="0" w:space="0" w:color="000000"/>
        </w:tcBorders>
        <w:shd w:val="clear" w:color="FFFFFF" w:fill="FFFFFF" w:themeFill="light1"/>
      </w:tcPr>
    </w:tblStylePr>
    <w:tblStylePr w:type="lastRow">
      <w:rPr>
        <w:b/>
        <w:color w:val="B2A1C6" w:themeColor="accent4" w:themeTint="9A" w:themeShade="95"/>
        <w:sz w:val="22"/>
      </w:rPr>
      <w:tblPr/>
      <w:tcPr>
        <w:tcBorders>
          <w:top w:val="single" w:sz="4" w:space="0" w:color="8064A2" w:themeColor="accent4"/>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B2A1C6" w:themeColor="accent4" w:themeTint="9A" w:themeShade="95"/>
        <w:sz w:val="22"/>
      </w:rPr>
      <w:tblPr/>
      <w:tcPr>
        <w:tcBorders>
          <w:top w:val="none" w:sz="0" w:space="0" w:color="000000"/>
          <w:left w:val="none" w:sz="0" w:space="0" w:color="000000"/>
          <w:bottom w:val="none" w:sz="0" w:space="0" w:color="000000"/>
          <w:right w:val="single" w:sz="4" w:space="0" w:color="8064A2" w:themeColor="accent4"/>
        </w:tcBorders>
        <w:shd w:val="clear" w:color="FFFFFF" w:fill="auto"/>
      </w:tcPr>
    </w:tblStylePr>
    <w:tblStylePr w:type="lastCol">
      <w:rPr>
        <w:i/>
        <w:color w:val="B2A1C6" w:themeColor="accent4" w:themeTint="9A" w:themeShade="95"/>
        <w:sz w:val="22"/>
      </w:rPr>
      <w:tblPr/>
      <w:tcPr>
        <w:tcBorders>
          <w:top w:val="none" w:sz="0" w:space="0" w:color="000000"/>
          <w:left w:val="single" w:sz="4" w:space="0" w:color="8064A2" w:themeColor="accent4"/>
          <w:bottom w:val="none" w:sz="0" w:space="0" w:color="000000"/>
          <w:right w:val="none" w:sz="0" w:space="0" w:color="000000"/>
        </w:tcBorders>
        <w:shd w:val="clear" w:color="FFFFFF" w:fill="auto"/>
      </w:tc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color w:val="266779" w:themeColor="accent5" w:themeShade="95"/>
        <w:sz w:val="22"/>
      </w:rPr>
      <w:tblPr/>
      <w:tcPr>
        <w:tcBorders>
          <w:top w:val="none" w:sz="0" w:space="0" w:color="000000"/>
          <w:left w:val="none" w:sz="0" w:space="0" w:color="000000"/>
          <w:bottom w:val="single" w:sz="4" w:space="0" w:color="4BACC6" w:themeColor="accent5"/>
          <w:right w:val="none" w:sz="0" w:space="0" w:color="000000"/>
        </w:tcBorders>
        <w:shd w:val="clear" w:color="FFFFFF" w:fill="FFFFFF" w:themeFill="light1"/>
      </w:tcPr>
    </w:tblStylePr>
    <w:tblStylePr w:type="lastRow">
      <w:rPr>
        <w:b/>
        <w:color w:val="266779" w:themeColor="accent5" w:themeShade="95"/>
        <w:sz w:val="22"/>
      </w:rPr>
      <w:tblPr/>
      <w:tcPr>
        <w:tcBorders>
          <w:top w:val="single" w:sz="4" w:space="0" w:color="4BACC6" w:themeColor="accent5"/>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266779" w:themeColor="accent5" w:themeShade="95"/>
        <w:sz w:val="22"/>
      </w:rPr>
      <w:tblPr/>
      <w:tcPr>
        <w:tcBorders>
          <w:top w:val="none" w:sz="0" w:space="0" w:color="000000"/>
          <w:left w:val="none" w:sz="0" w:space="0" w:color="000000"/>
          <w:bottom w:val="none" w:sz="0" w:space="0" w:color="000000"/>
          <w:right w:val="single" w:sz="4" w:space="0" w:color="4BACC6" w:themeColor="accent5"/>
        </w:tcBorders>
        <w:shd w:val="clear" w:color="FFFFFF" w:fill="auto"/>
      </w:tcPr>
    </w:tblStylePr>
    <w:tblStylePr w:type="lastCol">
      <w:rPr>
        <w:i/>
        <w:color w:val="266779" w:themeColor="accent5" w:themeShade="95"/>
        <w:sz w:val="22"/>
      </w:rPr>
      <w:tblPr/>
      <w:tcPr>
        <w:tcBorders>
          <w:top w:val="none" w:sz="0" w:space="0" w:color="000000"/>
          <w:left w:val="single" w:sz="4" w:space="0" w:color="4BACC6" w:themeColor="accent5"/>
          <w:bottom w:val="none" w:sz="0" w:space="0" w:color="000000"/>
          <w:right w:val="none" w:sz="0" w:space="0" w:color="000000"/>
        </w:tcBorders>
        <w:shd w:val="clear" w:color="FFFFFF" w:fill="auto"/>
      </w:tc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color w:val="B15407" w:themeColor="accent6" w:themeShade="95"/>
        <w:sz w:val="22"/>
      </w:rPr>
      <w:tblPr/>
      <w:tcPr>
        <w:tcBorders>
          <w:top w:val="none" w:sz="0" w:space="0" w:color="000000"/>
          <w:left w:val="none" w:sz="0" w:space="0" w:color="000000"/>
          <w:bottom w:val="single" w:sz="4" w:space="0" w:color="F79646" w:themeColor="accent6"/>
          <w:right w:val="none" w:sz="0" w:space="0" w:color="000000"/>
        </w:tcBorders>
        <w:shd w:val="clear" w:color="FFFFFF" w:fill="FFFFFF" w:themeFill="light1"/>
      </w:tcPr>
    </w:tblStylePr>
    <w:tblStylePr w:type="lastRow">
      <w:rPr>
        <w:b/>
        <w:color w:val="B15407" w:themeColor="accent6" w:themeShade="95"/>
        <w:sz w:val="22"/>
      </w:rPr>
      <w:tblPr/>
      <w:tcPr>
        <w:tcBorders>
          <w:top w:val="single" w:sz="4" w:space="0" w:color="F79646" w:themeColor="accent6"/>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B15407" w:themeColor="accent6" w:themeShade="95"/>
        <w:sz w:val="22"/>
      </w:rPr>
      <w:tblPr/>
      <w:tcPr>
        <w:tcBorders>
          <w:top w:val="none" w:sz="0" w:space="0" w:color="000000"/>
          <w:left w:val="none" w:sz="0" w:space="0" w:color="000000"/>
          <w:bottom w:val="none" w:sz="0" w:space="0" w:color="000000"/>
          <w:right w:val="single" w:sz="4" w:space="0" w:color="F79646" w:themeColor="accent6"/>
        </w:tcBorders>
        <w:shd w:val="clear" w:color="FFFFFF" w:fill="auto"/>
      </w:tcPr>
    </w:tblStylePr>
    <w:tblStylePr w:type="lastCol">
      <w:rPr>
        <w:i/>
        <w:color w:val="B15407" w:themeColor="accent6" w:themeShade="95"/>
        <w:sz w:val="22"/>
      </w:rPr>
      <w:tblPr/>
      <w:tcPr>
        <w:tcBorders>
          <w:top w:val="none" w:sz="0" w:space="0" w:color="000000"/>
          <w:left w:val="single" w:sz="4" w:space="0" w:color="F79646" w:themeColor="accent6"/>
          <w:bottom w:val="none" w:sz="0" w:space="0" w:color="000000"/>
          <w:right w:val="none" w:sz="0" w:space="0" w:color="000000"/>
        </w:tcBorders>
        <w:shd w:val="clear" w:color="FFFFFF" w:fill="auto"/>
      </w:tcPr>
    </w:tblStylePr>
    <w:tblStylePr w:type="band1Vert">
      <w:tblPr/>
      <w:tcPr>
        <w:shd w:val="clear" w:color="FDE9D8" w:fill="FDE9D8" w:themeFill="accent6" w:themeFillTint="34"/>
      </w:tcPr>
    </w:tblStylePr>
    <w:tblStylePr w:type="band1Horz">
      <w:rPr>
        <w:color w:val="B15407" w:themeColor="accent6" w:themeShade="95"/>
        <w:sz w:val="22"/>
      </w:rPr>
      <w:tblPr/>
      <w:tcPr>
        <w:shd w:val="clear" w:color="FDE9D8" w:fill="FDE9D8" w:themeFill="accent6" w:themeFillTint="34"/>
      </w:tcPr>
    </w:tblStylePr>
    <w:tblStylePr w:type="band2Horz">
      <w:rPr>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b/>
        <w:sz w:val="22"/>
      </w:rPr>
      <w:tblPr/>
      <w:tcPr>
        <w:tcBorders>
          <w:top w:val="single" w:sz="4" w:space="0" w:color="4F81BD" w:themeColor="accent1"/>
          <w:left w:val="none" w:sz="4" w:space="0" w:color="000000"/>
          <w:bottom w:val="single" w:sz="4" w:space="0" w:color="4F81BD" w:themeColor="accent1"/>
          <w:right w:val="none" w:sz="4" w:space="0" w:color="000000"/>
        </w:tcBorders>
      </w:tcPr>
    </w:tblStylePr>
    <w:tblStylePr w:type="lastRow">
      <w:rPr>
        <w:b/>
        <w:sz w:val="22"/>
      </w:rPr>
      <w:tblPr/>
      <w:tcPr>
        <w:tcBorders>
          <w:top w:val="single" w:sz="4" w:space="0" w:color="4F81BD" w:themeColor="accent1"/>
          <w:left w:val="none" w:sz="4" w:space="0" w:color="000000"/>
          <w:bottom w:val="single" w:sz="4" w:space="0" w:color="4F81BD"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b/>
        <w:sz w:val="22"/>
      </w:rPr>
      <w:tblPr/>
      <w:tcPr>
        <w:tcBorders>
          <w:top w:val="single" w:sz="4" w:space="0" w:color="C0504D" w:themeColor="accent2"/>
          <w:left w:val="none" w:sz="4" w:space="0" w:color="000000"/>
          <w:bottom w:val="single" w:sz="4" w:space="0" w:color="C0504D" w:themeColor="accent2"/>
          <w:right w:val="none" w:sz="4" w:space="0" w:color="000000"/>
        </w:tcBorders>
      </w:tcPr>
    </w:tblStylePr>
    <w:tblStylePr w:type="lastRow">
      <w:rPr>
        <w:b/>
        <w:sz w:val="22"/>
      </w:rPr>
      <w:tblPr/>
      <w:tcPr>
        <w:tcBorders>
          <w:top w:val="single" w:sz="4" w:space="0" w:color="C0504D" w:themeColor="accent2"/>
          <w:left w:val="none" w:sz="4" w:space="0" w:color="000000"/>
          <w:bottom w:val="single" w:sz="4" w:space="0" w:color="C0504D"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b/>
        <w:sz w:val="22"/>
      </w:rPr>
      <w:tblPr/>
      <w:tcPr>
        <w:tcBorders>
          <w:top w:val="single" w:sz="4" w:space="0" w:color="9BBB59" w:themeColor="accent3"/>
          <w:left w:val="none" w:sz="4" w:space="0" w:color="000000"/>
          <w:bottom w:val="single" w:sz="4" w:space="0" w:color="9BBB59" w:themeColor="accent3"/>
          <w:right w:val="none" w:sz="4" w:space="0" w:color="000000"/>
        </w:tcBorders>
      </w:tcPr>
    </w:tblStylePr>
    <w:tblStylePr w:type="lastRow">
      <w:rPr>
        <w:b/>
        <w:sz w:val="22"/>
      </w:rPr>
      <w:tblPr/>
      <w:tcPr>
        <w:tcBorders>
          <w:top w:val="single" w:sz="4" w:space="0" w:color="9BBB59" w:themeColor="accent3"/>
          <w:left w:val="none" w:sz="4" w:space="0" w:color="000000"/>
          <w:bottom w:val="single" w:sz="4" w:space="0" w:color="9BBB59"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b/>
        <w:sz w:val="22"/>
      </w:rPr>
      <w:tblPr/>
      <w:tcPr>
        <w:tcBorders>
          <w:top w:val="single" w:sz="4" w:space="0" w:color="8064A2" w:themeColor="accent4"/>
          <w:left w:val="none" w:sz="4" w:space="0" w:color="000000"/>
          <w:bottom w:val="single" w:sz="4" w:space="0" w:color="8064A2" w:themeColor="accent4"/>
          <w:right w:val="none" w:sz="4" w:space="0" w:color="000000"/>
        </w:tcBorders>
      </w:tcPr>
    </w:tblStylePr>
    <w:tblStylePr w:type="lastRow">
      <w:rPr>
        <w:b/>
        <w:sz w:val="22"/>
      </w:rPr>
      <w:tblPr/>
      <w:tcPr>
        <w:tcBorders>
          <w:top w:val="single" w:sz="4" w:space="0" w:color="8064A2" w:themeColor="accent4"/>
          <w:left w:val="none" w:sz="4" w:space="0" w:color="000000"/>
          <w:bottom w:val="single" w:sz="4" w:space="0" w:color="8064A2"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b/>
        <w:sz w:val="22"/>
      </w:rPr>
      <w:tblPr/>
      <w:tcPr>
        <w:tcBorders>
          <w:top w:val="single" w:sz="4" w:space="0" w:color="4BACC6" w:themeColor="accent5"/>
          <w:left w:val="none" w:sz="4" w:space="0" w:color="000000"/>
          <w:bottom w:val="single" w:sz="4" w:space="0" w:color="4BACC6" w:themeColor="accent5"/>
          <w:right w:val="none" w:sz="4" w:space="0" w:color="000000"/>
        </w:tcBorders>
      </w:tcPr>
    </w:tblStylePr>
    <w:tblStylePr w:type="lastRow">
      <w:rPr>
        <w:b/>
        <w:sz w:val="22"/>
      </w:rPr>
      <w:tblPr/>
      <w:tcPr>
        <w:tcBorders>
          <w:top w:val="single" w:sz="4" w:space="0" w:color="4BACC6" w:themeColor="accent5"/>
          <w:left w:val="none" w:sz="4" w:space="0" w:color="000000"/>
          <w:bottom w:val="single" w:sz="4" w:space="0" w:color="4BACC6"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b/>
        <w:sz w:val="22"/>
      </w:rPr>
      <w:tblPr/>
      <w:tcPr>
        <w:tcBorders>
          <w:top w:val="single" w:sz="4" w:space="0" w:color="F79646" w:themeColor="accent6"/>
          <w:left w:val="none" w:sz="4" w:space="0" w:color="000000"/>
          <w:bottom w:val="single" w:sz="4" w:space="0" w:color="F79646" w:themeColor="accent6"/>
          <w:right w:val="none" w:sz="4" w:space="0" w:color="000000"/>
        </w:tcBorders>
      </w:tcPr>
    </w:tblStylePr>
    <w:tblStylePr w:type="lastRow">
      <w:rPr>
        <w:b/>
        <w:sz w:val="22"/>
      </w:rPr>
      <w:tblPr/>
      <w:tcPr>
        <w:tcBorders>
          <w:top w:val="single" w:sz="4" w:space="0" w:color="F79646" w:themeColor="accent6"/>
          <w:left w:val="none" w:sz="4" w:space="0" w:color="000000"/>
          <w:bottom w:val="single" w:sz="4" w:space="0" w:color="F79646"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sz w:val="22"/>
      </w:rPr>
      <w:tblPr/>
      <w:tcPr>
        <w:shd w:val="clear" w:color="4F81BD" w:fill="4F81BD"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F81BD" w:themeColor="accent1"/>
          <w:right w:val="single" w:sz="4" w:space="0" w:color="4F81BD" w:themeColor="accent1"/>
        </w:tcBorders>
      </w:tcPr>
    </w:tblStylePr>
    <w:tblStylePr w:type="band1Horz">
      <w:rPr>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b/>
        <w:sz w:val="22"/>
      </w:rPr>
      <w:tblPr/>
      <w:tcPr>
        <w:shd w:val="clear" w:color="D99695" w:fill="D99695"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C0504D" w:themeColor="accent2"/>
          <w:right w:val="single" w:sz="4" w:space="0" w:color="C0504D" w:themeColor="accent2"/>
        </w:tcBorders>
      </w:tcPr>
    </w:tblStylePr>
    <w:tblStylePr w:type="band1Horz">
      <w:rPr>
        <w:sz w:val="22"/>
      </w:rPr>
      <w:tblPr/>
      <w:tcPr>
        <w:tcBorders>
          <w:top w:val="single" w:sz="4" w:space="0" w:color="C0504D" w:themeColor="accent2"/>
          <w:bottom w:val="single" w:sz="4" w:space="0" w:color="C0504D" w:themeColor="accent2"/>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b/>
        <w:sz w:val="22"/>
      </w:rPr>
      <w:tblPr/>
      <w:tcPr>
        <w:shd w:val="clear" w:color="C3D69B" w:fill="C3D69B"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9BBB59" w:themeColor="accent3"/>
          <w:right w:val="single" w:sz="4" w:space="0" w:color="9BBB59" w:themeColor="accent3"/>
        </w:tcBorders>
      </w:tcPr>
    </w:tblStylePr>
    <w:tblStylePr w:type="band1Horz">
      <w:rPr>
        <w:sz w:val="22"/>
      </w:rPr>
      <w:tblPr/>
      <w:tcPr>
        <w:tcBorders>
          <w:top w:val="single" w:sz="4" w:space="0" w:color="9BBB59" w:themeColor="accent3"/>
          <w:bottom w:val="single" w:sz="4" w:space="0" w:color="9BBB59" w:themeColor="accent3"/>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b/>
        <w:sz w:val="22"/>
      </w:rPr>
      <w:tblPr/>
      <w:tcPr>
        <w:shd w:val="clear" w:color="B2A1C6" w:fill="B2A1C6"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8064A2" w:themeColor="accent4"/>
          <w:right w:val="single" w:sz="4" w:space="0" w:color="8064A2" w:themeColor="accent4"/>
        </w:tcBorders>
      </w:tcPr>
    </w:tblStylePr>
    <w:tblStylePr w:type="band1Horz">
      <w:rPr>
        <w:sz w:val="22"/>
      </w:rPr>
      <w:tblPr/>
      <w:tcPr>
        <w:tcBorders>
          <w:top w:val="single" w:sz="4" w:space="0" w:color="8064A2" w:themeColor="accent4"/>
          <w:bottom w:val="single" w:sz="4" w:space="0" w:color="8064A2" w:themeColor="accent4"/>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b/>
        <w:sz w:val="22"/>
      </w:rPr>
      <w:tblPr/>
      <w:tcPr>
        <w:shd w:val="clear" w:color="92CCDC" w:fill="92CCDC"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BACC6" w:themeColor="accent5"/>
          <w:right w:val="single" w:sz="4" w:space="0" w:color="4BACC6" w:themeColor="accent5"/>
        </w:tcBorders>
      </w:tcPr>
    </w:tblStylePr>
    <w:tblStylePr w:type="band1Horz">
      <w:rPr>
        <w:sz w:val="22"/>
      </w:rPr>
      <w:tblPr/>
      <w:tcPr>
        <w:tcBorders>
          <w:top w:val="single" w:sz="4" w:space="0" w:color="4BACC6" w:themeColor="accent5"/>
          <w:bottom w:val="single" w:sz="4" w:space="0" w:color="4BACC6" w:themeColor="accent5"/>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b/>
        <w:sz w:val="22"/>
      </w:rPr>
      <w:tblPr/>
      <w:tcPr>
        <w:shd w:val="clear" w:color="FAC090" w:fill="FAC090"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F79646" w:themeColor="accent6"/>
          <w:right w:val="single" w:sz="4" w:space="0" w:color="F79646" w:themeColor="accent6"/>
        </w:tcBorders>
      </w:tcPr>
    </w:tblStylePr>
    <w:tblStylePr w:type="band1Horz">
      <w:rPr>
        <w:sz w:val="22"/>
      </w:rPr>
      <w:tblPr/>
      <w:tcPr>
        <w:tcBorders>
          <w:top w:val="single" w:sz="4" w:space="0" w:color="F79646" w:themeColor="accent6"/>
          <w:bottom w:val="single" w:sz="4" w:space="0" w:color="F79646" w:themeColor="accent6"/>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b/>
        <w:sz w:val="22"/>
      </w:rPr>
      <w:tblPr/>
      <w:tcPr>
        <w:shd w:val="clear" w:color="4F81BD" w:fill="4F81BD" w:themeFill="accent1"/>
      </w:tcPr>
    </w:tblStylePr>
    <w:tblStylePr w:type="lastRow">
      <w:rPr>
        <w:b/>
      </w:rPr>
    </w:tblStylePr>
    <w:tblStylePr w:type="firstCol">
      <w:rPr>
        <w:b/>
      </w:rPr>
    </w:tblStylePr>
    <w:tblStylePr w:type="lastCol">
      <w:rPr>
        <w:b/>
      </w:r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b/>
        <w:sz w:val="22"/>
      </w:rPr>
      <w:tblPr/>
      <w:tcPr>
        <w:shd w:val="clear" w:color="C0504D" w:fill="C0504D" w:themeFill="accent2"/>
      </w:tcPr>
    </w:tblStylePr>
    <w:tblStylePr w:type="lastRow">
      <w:rPr>
        <w:b/>
      </w:rPr>
    </w:tblStylePr>
    <w:tblStylePr w:type="firstCol">
      <w:rPr>
        <w:b/>
      </w:rPr>
    </w:tblStylePr>
    <w:tblStylePr w:type="lastCol">
      <w:rPr>
        <w:b/>
      </w:r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b/>
        <w:sz w:val="22"/>
      </w:rPr>
      <w:tblPr/>
      <w:tcPr>
        <w:shd w:val="clear" w:color="9BBB59" w:fill="9BBB59" w:themeFill="accent3"/>
      </w:tcPr>
    </w:tblStylePr>
    <w:tblStylePr w:type="lastRow">
      <w:rPr>
        <w:b/>
      </w:rPr>
    </w:tblStylePr>
    <w:tblStylePr w:type="firstCol">
      <w:rPr>
        <w:b/>
      </w:rPr>
    </w:tblStylePr>
    <w:tblStylePr w:type="lastCol">
      <w:rPr>
        <w:b/>
      </w:r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b/>
        <w:sz w:val="22"/>
      </w:rPr>
      <w:tblPr/>
      <w:tcPr>
        <w:shd w:val="clear" w:color="8064A2" w:fill="8064A2" w:themeFill="accent4"/>
      </w:tcPr>
    </w:tblStylePr>
    <w:tblStylePr w:type="lastRow">
      <w:rPr>
        <w:b/>
      </w:rPr>
    </w:tblStylePr>
    <w:tblStylePr w:type="firstCol">
      <w:rPr>
        <w:b/>
      </w:rPr>
    </w:tblStylePr>
    <w:tblStylePr w:type="lastCol">
      <w:rPr>
        <w:b/>
      </w:r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b/>
        <w:sz w:val="22"/>
      </w:rPr>
      <w:tblPr/>
      <w:tcPr>
        <w:shd w:val="clear" w:color="4BACC6" w:fill="4BACC6" w:themeFill="accent5"/>
      </w:tcPr>
    </w:tblStylePr>
    <w:tblStylePr w:type="lastRow">
      <w:rPr>
        <w:b/>
      </w:rPr>
    </w:tblStylePr>
    <w:tblStylePr w:type="firstCol">
      <w:rPr>
        <w:b/>
      </w:rPr>
    </w:tblStylePr>
    <w:tblStylePr w:type="lastCol">
      <w:rPr>
        <w:b/>
      </w:r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b/>
        <w:sz w:val="22"/>
      </w:rPr>
      <w:tblPr/>
      <w:tcPr>
        <w:shd w:val="clear" w:color="F79646" w:fill="F79646" w:themeFill="accent6"/>
      </w:tcPr>
    </w:tblStylePr>
    <w:tblStylePr w:type="lastRow">
      <w:rPr>
        <w:b/>
      </w:rPr>
    </w:tblStylePr>
    <w:tblStylePr w:type="firstCol">
      <w:rPr>
        <w:b/>
      </w:rPr>
    </w:tblStylePr>
    <w:tblStylePr w:type="lastCol">
      <w:rPr>
        <w:b/>
      </w:r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b/>
        <w:color w:val="FFFFFF" w:themeColor="light1"/>
        <w:sz w:val="22"/>
      </w:rPr>
      <w:tblPr/>
      <w:tcPr>
        <w:tcBorders>
          <w:top w:val="single" w:sz="32" w:space="0" w:color="4F81BD" w:themeColor="accent1"/>
          <w:bottom w:val="single" w:sz="12" w:space="0" w:color="FFFFFF" w:themeColor="light1"/>
        </w:tcBorders>
        <w:shd w:val="clear" w:color="4F81BD" w:fill="4F81BD"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fill="4F81BD" w:themeFill="accent1"/>
      </w:tcPr>
    </w:tblStylePr>
    <w:tblStylePr w:type="band2Horz">
      <w:tblPr/>
      <w:tcPr>
        <w:tcBorders>
          <w:top w:val="single" w:sz="4" w:space="0" w:color="FFFFFF" w:themeColor="light1"/>
          <w:bottom w:val="single" w:sz="4" w:space="0" w:color="FFFFFF" w:themeColor="light1"/>
        </w:tcBorders>
        <w:shd w:val="clear" w:color="4F81BD"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b/>
        <w:color w:val="FFFFFF" w:themeColor="light1"/>
        <w:sz w:val="22"/>
      </w:rPr>
      <w:tblPr/>
      <w:tcPr>
        <w:tcBorders>
          <w:top w:val="single" w:sz="32" w:space="0" w:color="C0504D" w:themeColor="accent2"/>
          <w:bottom w:val="single" w:sz="12" w:space="0" w:color="FFFFFF" w:themeColor="light1"/>
        </w:tcBorders>
        <w:shd w:val="clear" w:color="D99695" w:fill="D99695"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C0504D" w:themeColor="accent2"/>
          <w:right w:val="single" w:sz="4" w:space="0" w:color="FFFFFF" w:themeColor="light1"/>
        </w:tcBorders>
      </w:tcPr>
    </w:tblStylePr>
    <w:tblStylePr w:type="lastCol">
      <w:tblPr/>
      <w:tcPr>
        <w:tcBorders>
          <w:left w:val="single" w:sz="4" w:space="0" w:color="FFFFFF" w:themeColor="light1"/>
          <w:right w:val="single" w:sz="32" w:space="0" w:color="C0504D" w:themeColor="accent2"/>
        </w:tcBorders>
      </w:tcPr>
    </w:tblStylePr>
    <w:tblStylePr w:type="band1Vert">
      <w:tblPr/>
      <w:tcPr>
        <w:tcBorders>
          <w:left w:val="single" w:sz="4" w:space="0" w:color="FFFFFF" w:themeColor="light1"/>
          <w:right w:val="single" w:sz="4" w:space="0" w:color="FFFFFF" w:themeColor="light1"/>
        </w:tcBorders>
        <w:shd w:val="clear" w:color="D99695"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b/>
        <w:color w:val="FFFFFF" w:themeColor="light1"/>
        <w:sz w:val="22"/>
      </w:rPr>
      <w:tblPr/>
      <w:tcPr>
        <w:tcBorders>
          <w:top w:val="single" w:sz="32" w:space="0" w:color="9BBB59" w:themeColor="accent3"/>
          <w:bottom w:val="single" w:sz="12" w:space="0" w:color="FFFFFF" w:themeColor="light1"/>
        </w:tcBorders>
        <w:shd w:val="clear" w:color="C3D69B" w:fill="C3D69B"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9BBB59" w:themeColor="accent3"/>
          <w:right w:val="single" w:sz="4" w:space="0" w:color="FFFFFF" w:themeColor="light1"/>
        </w:tcBorders>
      </w:tcPr>
    </w:tblStylePr>
    <w:tblStylePr w:type="lastCol">
      <w:tblPr/>
      <w:tcPr>
        <w:tcBorders>
          <w:left w:val="single" w:sz="4" w:space="0" w:color="FFFFFF" w:themeColor="light1"/>
          <w:right w:val="single" w:sz="32" w:space="0" w:color="9BBB59" w:themeColor="accent3"/>
        </w:tcBorders>
      </w:tcPr>
    </w:tblStylePr>
    <w:tblStylePr w:type="band1Vert">
      <w:tblPr/>
      <w:tcPr>
        <w:tcBorders>
          <w:left w:val="single" w:sz="4" w:space="0" w:color="FFFFFF" w:themeColor="light1"/>
          <w:right w:val="single" w:sz="4" w:space="0" w:color="FFFFFF" w:themeColor="light1"/>
        </w:tcBorders>
        <w:shd w:val="clear" w:color="C3D69B"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b/>
        <w:color w:val="FFFFFF" w:themeColor="light1"/>
        <w:sz w:val="22"/>
      </w:rPr>
      <w:tblPr/>
      <w:tcPr>
        <w:tcBorders>
          <w:top w:val="single" w:sz="32" w:space="0" w:color="8064A2" w:themeColor="accent4"/>
          <w:bottom w:val="single" w:sz="12" w:space="0" w:color="FFFFFF" w:themeColor="light1"/>
        </w:tcBorders>
        <w:shd w:val="clear" w:color="B2A1C6" w:fill="B2A1C6"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8064A2" w:themeColor="accent4"/>
          <w:right w:val="single" w:sz="4" w:space="0" w:color="FFFFFF" w:themeColor="light1"/>
        </w:tcBorders>
      </w:tcPr>
    </w:tblStylePr>
    <w:tblStylePr w:type="lastCol">
      <w:tblPr/>
      <w:tcPr>
        <w:tcBorders>
          <w:left w:val="single" w:sz="4" w:space="0" w:color="FFFFFF" w:themeColor="light1"/>
          <w:right w:val="single" w:sz="32" w:space="0" w:color="8064A2" w:themeColor="accent4"/>
        </w:tcBorders>
      </w:tcPr>
    </w:tblStylePr>
    <w:tblStylePr w:type="band1Vert">
      <w:tblPr/>
      <w:tcPr>
        <w:tcBorders>
          <w:left w:val="single" w:sz="4" w:space="0" w:color="FFFFFF" w:themeColor="light1"/>
          <w:right w:val="single" w:sz="4" w:space="0" w:color="FFFFFF" w:themeColor="light1"/>
        </w:tcBorders>
        <w:shd w:val="clear" w:color="B2A1C6"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b/>
        <w:color w:val="FFFFFF" w:themeColor="light1"/>
        <w:sz w:val="22"/>
      </w:rPr>
      <w:tblPr/>
      <w:tcPr>
        <w:tcBorders>
          <w:top w:val="single" w:sz="32" w:space="0" w:color="4BACC6" w:themeColor="accent5"/>
          <w:bottom w:val="single" w:sz="12" w:space="0" w:color="FFFFFF" w:themeColor="light1"/>
        </w:tcBorders>
        <w:shd w:val="clear" w:color="92CCDC" w:fill="92CCDC"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BACC6" w:themeColor="accent5"/>
          <w:right w:val="single" w:sz="4" w:space="0" w:color="FFFFFF" w:themeColor="light1"/>
        </w:tcBorders>
      </w:tcPr>
    </w:tblStylePr>
    <w:tblStylePr w:type="lastCol">
      <w:tblPr/>
      <w:tcPr>
        <w:tcBorders>
          <w:left w:val="single" w:sz="4" w:space="0" w:color="FFFFFF" w:themeColor="light1"/>
          <w:right w:val="single" w:sz="32" w:space="0" w:color="4BACC6" w:themeColor="accent5"/>
        </w:tcBorders>
      </w:tcPr>
    </w:tblStylePr>
    <w:tblStylePr w:type="band1Vert">
      <w:tblPr/>
      <w:tcPr>
        <w:tcBorders>
          <w:left w:val="single" w:sz="4" w:space="0" w:color="FFFFFF" w:themeColor="light1"/>
          <w:right w:val="single" w:sz="4" w:space="0" w:color="FFFFFF" w:themeColor="light1"/>
        </w:tcBorders>
        <w:shd w:val="clear" w:color="92CCDC"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b/>
        <w:color w:val="FFFFFF" w:themeColor="light1"/>
        <w:sz w:val="22"/>
      </w:rPr>
      <w:tblPr/>
      <w:tcPr>
        <w:tcBorders>
          <w:top w:val="single" w:sz="32" w:space="0" w:color="F79646" w:themeColor="accent6"/>
          <w:bottom w:val="single" w:sz="12" w:space="0" w:color="FFFFFF" w:themeColor="light1"/>
        </w:tcBorders>
        <w:shd w:val="clear" w:color="FAC090" w:fill="FAC090"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F79646" w:themeColor="accent6"/>
          <w:right w:val="single" w:sz="4" w:space="0" w:color="FFFFFF" w:themeColor="light1"/>
        </w:tcBorders>
      </w:tcPr>
    </w:tblStylePr>
    <w:tblStylePr w:type="lastCol">
      <w:tblPr/>
      <w:tcPr>
        <w:tcBorders>
          <w:left w:val="single" w:sz="4" w:space="0" w:color="FFFFFF" w:themeColor="light1"/>
          <w:right w:val="single" w:sz="32" w:space="0" w:color="F79646" w:themeColor="accent6"/>
        </w:tcBorders>
      </w:tcPr>
    </w:tblStylePr>
    <w:tblStylePr w:type="band1Vert">
      <w:tblPr/>
      <w:tcPr>
        <w:tcBorders>
          <w:left w:val="single" w:sz="4" w:space="0" w:color="FFFFFF" w:themeColor="light1"/>
          <w:right w:val="single" w:sz="4" w:space="0" w:color="FFFFFF" w:themeColor="light1"/>
        </w:tcBorders>
        <w:shd w:val="clear" w:color="FAC090"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C0504D" w:themeColor="accent2"/>
        </w:tcBorders>
      </w:tcPr>
    </w:tblStylePr>
    <w:tblStylePr w:type="lastRow">
      <w:rPr>
        <w:b/>
        <w:color w:val="D99695" w:themeColor="accent2" w:themeTint="97" w:themeShade="95"/>
      </w:rPr>
      <w:tblPr/>
      <w:tcPr>
        <w:tcBorders>
          <w:top w:val="single" w:sz="4" w:space="0" w:color="C0504D" w:themeColor="accent2"/>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9BBB59" w:themeColor="accent3"/>
        </w:tcBorders>
      </w:tcPr>
    </w:tblStylePr>
    <w:tblStylePr w:type="lastRow">
      <w:rPr>
        <w:b/>
        <w:color w:val="C3D69B" w:themeColor="accent3" w:themeTint="98" w:themeShade="95"/>
      </w:rPr>
      <w:tblPr/>
      <w:tcPr>
        <w:tcBorders>
          <w:top w:val="single" w:sz="4" w:space="0" w:color="9BBB59" w:themeColor="accent3"/>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8064A2" w:themeColor="accent4"/>
        </w:tcBorders>
      </w:tcPr>
    </w:tblStylePr>
    <w:tblStylePr w:type="lastRow">
      <w:rPr>
        <w:b/>
        <w:color w:val="B2A1C6" w:themeColor="accent4" w:themeTint="9A" w:themeShade="95"/>
      </w:rPr>
      <w:tblPr/>
      <w:tcPr>
        <w:tcBorders>
          <w:top w:val="single" w:sz="4" w:space="0" w:color="8064A2" w:themeColor="accent4"/>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4BACC6" w:themeColor="accent5"/>
        </w:tcBorders>
      </w:tcPr>
    </w:tblStylePr>
    <w:tblStylePr w:type="lastRow">
      <w:rPr>
        <w:b/>
        <w:color w:val="92CCDC" w:themeColor="accent5" w:themeTint="9A" w:themeShade="95"/>
      </w:rPr>
      <w:tblPr/>
      <w:tcPr>
        <w:tcBorders>
          <w:top w:val="single" w:sz="4" w:space="0" w:color="4BACC6" w:themeColor="accent5"/>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79646" w:themeColor="accent6"/>
        </w:tcBorders>
      </w:tcPr>
    </w:tblStylePr>
    <w:tblStylePr w:type="lastRow">
      <w:rPr>
        <w:b/>
        <w:color w:val="FAC090" w:themeColor="accent6" w:themeTint="98" w:themeShade="95"/>
      </w:rPr>
      <w:tblPr/>
      <w:tcPr>
        <w:tcBorders>
          <w:top w:val="single" w:sz="4" w:space="0" w:color="F79646" w:themeColor="accent6"/>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000000"/>
          <w:left w:val="none" w:sz="0" w:space="0" w:color="000000"/>
          <w:bottom w:val="single" w:sz="4" w:space="0" w:color="000000" w:themeColor="text1"/>
          <w:right w:val="none" w:sz="0"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000000"/>
          <w:left w:val="none" w:sz="0" w:space="0" w:color="000000"/>
          <w:bottom w:val="none" w:sz="0"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000000"/>
          <w:left w:val="single" w:sz="4" w:space="0" w:color="000000" w:themeColor="text1"/>
          <w:bottom w:val="none" w:sz="0" w:space="0" w:color="000000"/>
          <w:right w:val="none" w:sz="0"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fill="FFFFFF" w:themeFill="light1"/>
      </w:tcPr>
    </w:tblStylePr>
    <w:tblStylePr w:type="lastRow">
      <w:rPr>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i/>
        <w:color w:val="D99695" w:themeColor="accent2" w:themeTint="97" w:themeShade="95"/>
        <w:sz w:val="22"/>
      </w:rPr>
      <w:tblPr/>
      <w:tcPr>
        <w:tcBorders>
          <w:top w:val="none" w:sz="0" w:space="0" w:color="000000"/>
          <w:left w:val="none" w:sz="0" w:space="0" w:color="000000"/>
          <w:bottom w:val="single" w:sz="4" w:space="0" w:color="C0504D" w:themeColor="accent2"/>
          <w:right w:val="none" w:sz="0" w:space="0" w:color="000000"/>
        </w:tcBorders>
        <w:shd w:val="clear" w:color="FFFFFF" w:fill="FFFFFF" w:themeFill="light1"/>
      </w:tcPr>
    </w:tblStylePr>
    <w:tblStylePr w:type="lastRow">
      <w:rPr>
        <w:i/>
        <w:color w:val="D99695" w:themeColor="accent2" w:themeTint="97" w:themeShade="95"/>
        <w:sz w:val="22"/>
      </w:rPr>
      <w:tblPr/>
      <w:tcPr>
        <w:tcBorders>
          <w:top w:val="single" w:sz="4" w:space="0" w:color="C0504D" w:themeColor="accent2"/>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D99695" w:themeColor="accent2" w:themeTint="97" w:themeShade="95"/>
        <w:sz w:val="22"/>
      </w:rPr>
      <w:tblPr/>
      <w:tcPr>
        <w:tcBorders>
          <w:top w:val="none" w:sz="0" w:space="0" w:color="000000"/>
          <w:left w:val="none" w:sz="0" w:space="0" w:color="000000"/>
          <w:bottom w:val="none" w:sz="0" w:space="0" w:color="000000"/>
          <w:right w:val="single" w:sz="4" w:space="0" w:color="C0504D" w:themeColor="accent2"/>
        </w:tcBorders>
        <w:shd w:val="clear" w:color="FFFFFF" w:fill="auto"/>
      </w:tcPr>
    </w:tblStylePr>
    <w:tblStylePr w:type="lastCol">
      <w:rPr>
        <w:i/>
        <w:color w:val="D99695" w:themeColor="accent2" w:themeTint="97" w:themeShade="95"/>
        <w:sz w:val="22"/>
      </w:rPr>
      <w:tblPr/>
      <w:tcPr>
        <w:tcBorders>
          <w:top w:val="none" w:sz="0" w:space="0" w:color="000000"/>
          <w:left w:val="single" w:sz="4" w:space="0" w:color="C0504D" w:themeColor="accent2"/>
          <w:bottom w:val="none" w:sz="0" w:space="0" w:color="000000"/>
          <w:right w:val="none" w:sz="0" w:space="0" w:color="000000"/>
        </w:tcBorders>
        <w:shd w:val="clear" w:color="FFFFFF" w:fill="auto"/>
      </w:tc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i/>
        <w:color w:val="C3D69B" w:themeColor="accent3" w:themeTint="98" w:themeShade="95"/>
        <w:sz w:val="22"/>
      </w:rPr>
      <w:tblPr/>
      <w:tcPr>
        <w:tcBorders>
          <w:top w:val="none" w:sz="0" w:space="0" w:color="000000"/>
          <w:left w:val="none" w:sz="0" w:space="0" w:color="000000"/>
          <w:bottom w:val="single" w:sz="4" w:space="0" w:color="9BBB59" w:themeColor="accent3"/>
          <w:right w:val="none" w:sz="0" w:space="0" w:color="000000"/>
        </w:tcBorders>
        <w:shd w:val="clear" w:color="FFFFFF" w:fill="FFFFFF" w:themeFill="light1"/>
      </w:tcPr>
    </w:tblStylePr>
    <w:tblStylePr w:type="lastRow">
      <w:rPr>
        <w:i/>
        <w:color w:val="C3D69B" w:themeColor="accent3" w:themeTint="98" w:themeShade="95"/>
        <w:sz w:val="22"/>
      </w:rPr>
      <w:tblPr/>
      <w:tcPr>
        <w:tcBorders>
          <w:top w:val="single" w:sz="4" w:space="0" w:color="9BBB59" w:themeColor="accent3"/>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C3D69B" w:themeColor="accent3" w:themeTint="98" w:themeShade="95"/>
        <w:sz w:val="22"/>
      </w:rPr>
      <w:tblPr/>
      <w:tcPr>
        <w:tcBorders>
          <w:top w:val="none" w:sz="0" w:space="0" w:color="000000"/>
          <w:left w:val="none" w:sz="0" w:space="0" w:color="000000"/>
          <w:bottom w:val="none" w:sz="0" w:space="0" w:color="000000"/>
          <w:right w:val="single" w:sz="4" w:space="0" w:color="9BBB59" w:themeColor="accent3"/>
        </w:tcBorders>
        <w:shd w:val="clear" w:color="FFFFFF" w:fill="auto"/>
      </w:tcPr>
    </w:tblStylePr>
    <w:tblStylePr w:type="lastCol">
      <w:rPr>
        <w:i/>
        <w:color w:val="C3D69B" w:themeColor="accent3" w:themeTint="98" w:themeShade="95"/>
        <w:sz w:val="22"/>
      </w:rPr>
      <w:tblPr/>
      <w:tcPr>
        <w:tcBorders>
          <w:top w:val="none" w:sz="0" w:space="0" w:color="000000"/>
          <w:left w:val="single" w:sz="4" w:space="0" w:color="9BBB59" w:themeColor="accent3"/>
          <w:bottom w:val="none" w:sz="0" w:space="0" w:color="000000"/>
          <w:right w:val="none" w:sz="0" w:space="0" w:color="000000"/>
        </w:tcBorders>
        <w:shd w:val="clear" w:color="FFFFFF" w:fill="auto"/>
      </w:tc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i/>
        <w:color w:val="B2A1C6" w:themeColor="accent4" w:themeTint="9A" w:themeShade="95"/>
        <w:sz w:val="22"/>
      </w:rPr>
      <w:tblPr/>
      <w:tcPr>
        <w:tcBorders>
          <w:top w:val="none" w:sz="0" w:space="0" w:color="000000"/>
          <w:left w:val="none" w:sz="0" w:space="0" w:color="000000"/>
          <w:bottom w:val="single" w:sz="4" w:space="0" w:color="8064A2" w:themeColor="accent4"/>
          <w:right w:val="none" w:sz="0" w:space="0" w:color="000000"/>
        </w:tcBorders>
        <w:shd w:val="clear" w:color="FFFFFF" w:fill="FFFFFF" w:themeFill="light1"/>
      </w:tcPr>
    </w:tblStylePr>
    <w:tblStylePr w:type="lastRow">
      <w:rPr>
        <w:i/>
        <w:color w:val="B2A1C6" w:themeColor="accent4" w:themeTint="9A" w:themeShade="95"/>
        <w:sz w:val="22"/>
      </w:rPr>
      <w:tblPr/>
      <w:tcPr>
        <w:tcBorders>
          <w:top w:val="single" w:sz="4" w:space="0" w:color="8064A2" w:themeColor="accent4"/>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B2A1C6" w:themeColor="accent4" w:themeTint="9A" w:themeShade="95"/>
        <w:sz w:val="22"/>
      </w:rPr>
      <w:tblPr/>
      <w:tcPr>
        <w:tcBorders>
          <w:top w:val="none" w:sz="0" w:space="0" w:color="000000"/>
          <w:left w:val="none" w:sz="0" w:space="0" w:color="000000"/>
          <w:bottom w:val="none" w:sz="0" w:space="0" w:color="000000"/>
          <w:right w:val="single" w:sz="4" w:space="0" w:color="8064A2" w:themeColor="accent4"/>
        </w:tcBorders>
        <w:shd w:val="clear" w:color="FFFFFF" w:fill="auto"/>
      </w:tcPr>
    </w:tblStylePr>
    <w:tblStylePr w:type="lastCol">
      <w:rPr>
        <w:i/>
        <w:color w:val="B2A1C6" w:themeColor="accent4" w:themeTint="9A" w:themeShade="95"/>
        <w:sz w:val="22"/>
      </w:rPr>
      <w:tblPr/>
      <w:tcPr>
        <w:tcBorders>
          <w:top w:val="none" w:sz="0" w:space="0" w:color="000000"/>
          <w:left w:val="single" w:sz="4" w:space="0" w:color="8064A2" w:themeColor="accent4"/>
          <w:bottom w:val="none" w:sz="0" w:space="0" w:color="000000"/>
          <w:right w:val="none" w:sz="0" w:space="0" w:color="000000"/>
        </w:tcBorders>
        <w:shd w:val="clear" w:color="FFFFFF" w:fill="auto"/>
      </w:tc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i/>
        <w:color w:val="92CCDC" w:themeColor="accent5" w:themeTint="9A" w:themeShade="95"/>
        <w:sz w:val="22"/>
      </w:rPr>
      <w:tblPr/>
      <w:tcPr>
        <w:tcBorders>
          <w:top w:val="none" w:sz="0" w:space="0" w:color="000000"/>
          <w:left w:val="none" w:sz="0" w:space="0" w:color="000000"/>
          <w:bottom w:val="single" w:sz="4" w:space="0" w:color="4BACC6" w:themeColor="accent5"/>
          <w:right w:val="none" w:sz="0" w:space="0" w:color="000000"/>
        </w:tcBorders>
        <w:shd w:val="clear" w:color="FFFFFF" w:fill="FFFFFF" w:themeFill="light1"/>
      </w:tcPr>
    </w:tblStylePr>
    <w:tblStylePr w:type="lastRow">
      <w:rPr>
        <w:i/>
        <w:color w:val="92CCDC" w:themeColor="accent5" w:themeTint="9A" w:themeShade="95"/>
        <w:sz w:val="22"/>
      </w:rPr>
      <w:tblPr/>
      <w:tcPr>
        <w:tcBorders>
          <w:top w:val="single" w:sz="4" w:space="0" w:color="4BACC6" w:themeColor="accent5"/>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92CCDC" w:themeColor="accent5" w:themeTint="9A" w:themeShade="95"/>
        <w:sz w:val="22"/>
      </w:rPr>
      <w:tblPr/>
      <w:tcPr>
        <w:tcBorders>
          <w:top w:val="none" w:sz="0" w:space="0" w:color="000000"/>
          <w:left w:val="none" w:sz="0" w:space="0" w:color="000000"/>
          <w:bottom w:val="none" w:sz="0" w:space="0" w:color="000000"/>
          <w:right w:val="single" w:sz="4" w:space="0" w:color="4BACC6" w:themeColor="accent5"/>
        </w:tcBorders>
        <w:shd w:val="clear" w:color="FFFFFF" w:fill="auto"/>
      </w:tcPr>
    </w:tblStylePr>
    <w:tblStylePr w:type="lastCol">
      <w:rPr>
        <w:i/>
        <w:color w:val="92CCDC" w:themeColor="accent5" w:themeTint="9A" w:themeShade="95"/>
        <w:sz w:val="22"/>
      </w:rPr>
      <w:tblPr/>
      <w:tcPr>
        <w:tcBorders>
          <w:top w:val="none" w:sz="0" w:space="0" w:color="000000"/>
          <w:left w:val="single" w:sz="4" w:space="0" w:color="4BACC6" w:themeColor="accent5"/>
          <w:bottom w:val="none" w:sz="0" w:space="0" w:color="000000"/>
          <w:right w:val="none" w:sz="0" w:space="0" w:color="000000"/>
        </w:tcBorders>
        <w:shd w:val="clear" w:color="FFFFFF" w:fill="auto"/>
      </w:tc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i/>
        <w:color w:val="FAC090" w:themeColor="accent6" w:themeTint="98" w:themeShade="95"/>
        <w:sz w:val="22"/>
      </w:rPr>
      <w:tblPr/>
      <w:tcPr>
        <w:tcBorders>
          <w:top w:val="none" w:sz="0" w:space="0" w:color="000000"/>
          <w:left w:val="none" w:sz="0" w:space="0" w:color="000000"/>
          <w:bottom w:val="single" w:sz="4" w:space="0" w:color="F79646" w:themeColor="accent6"/>
          <w:right w:val="none" w:sz="0" w:space="0" w:color="000000"/>
        </w:tcBorders>
        <w:shd w:val="clear" w:color="FFFFFF" w:fill="FFFFFF" w:themeFill="light1"/>
      </w:tcPr>
    </w:tblStylePr>
    <w:tblStylePr w:type="lastRow">
      <w:rPr>
        <w:i/>
        <w:color w:val="FAC090" w:themeColor="accent6" w:themeTint="98" w:themeShade="95"/>
        <w:sz w:val="22"/>
      </w:rPr>
      <w:tblPr/>
      <w:tcPr>
        <w:tcBorders>
          <w:top w:val="single" w:sz="4" w:space="0" w:color="F79646" w:themeColor="accent6"/>
          <w:left w:val="none" w:sz="0" w:space="0" w:color="000000"/>
          <w:bottom w:val="none" w:sz="0" w:space="0" w:color="000000"/>
          <w:right w:val="none" w:sz="0" w:space="0" w:color="000000"/>
        </w:tcBorders>
        <w:shd w:val="clear" w:color="FFFFFF" w:fill="FFFFFF" w:themeFill="light1"/>
      </w:tcPr>
    </w:tblStylePr>
    <w:tblStylePr w:type="firstCol">
      <w:pPr>
        <w:jc w:val="right"/>
      </w:pPr>
      <w:rPr>
        <w:i/>
        <w:color w:val="FAC090" w:themeColor="accent6" w:themeTint="98" w:themeShade="95"/>
        <w:sz w:val="22"/>
      </w:rPr>
      <w:tblPr/>
      <w:tcPr>
        <w:tcBorders>
          <w:top w:val="none" w:sz="0" w:space="0" w:color="000000"/>
          <w:left w:val="none" w:sz="0" w:space="0" w:color="000000"/>
          <w:bottom w:val="none" w:sz="0" w:space="0" w:color="000000"/>
          <w:right w:val="single" w:sz="4" w:space="0" w:color="F79646" w:themeColor="accent6"/>
        </w:tcBorders>
        <w:shd w:val="clear" w:color="FFFFFF" w:fill="auto"/>
      </w:tcPr>
    </w:tblStylePr>
    <w:tblStylePr w:type="lastCol">
      <w:rPr>
        <w:i/>
        <w:color w:val="FAC090" w:themeColor="accent6" w:themeTint="98" w:themeShade="95"/>
        <w:sz w:val="22"/>
      </w:rPr>
      <w:tblPr/>
      <w:tcPr>
        <w:tcBorders>
          <w:top w:val="none" w:sz="0" w:space="0" w:color="000000"/>
          <w:left w:val="single" w:sz="4" w:space="0" w:color="F79646" w:themeColor="accent6"/>
          <w:bottom w:val="none" w:sz="0" w:space="0" w:color="000000"/>
          <w:right w:val="none" w:sz="0" w:space="0" w:color="000000"/>
        </w:tcBorders>
        <w:shd w:val="clear" w:color="FFFFFF" w:fill="auto"/>
      </w:tc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StylePr>
  </w:style>
  <w:style w:type="table" w:customStyle="1" w:styleId="Lined-Accent">
    <w:name w:val="Lined - Accent"/>
    <w:basedOn w:val="a1"/>
    <w:uiPriority w:val="99"/>
    <w:rPr>
      <w:sz w:val="20"/>
      <w:szCs w:val="20"/>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Lined-Accent1">
    <w:name w:val="Lined - Accent 1"/>
    <w:basedOn w:val="a1"/>
    <w:uiPriority w:val="99"/>
    <w:rPr>
      <w:sz w:val="20"/>
      <w:szCs w:val="20"/>
    </w:rPr>
    <w:tblPr>
      <w:tblStyleRowBandSize w:val="1"/>
      <w:tblStyleColBandSize w:val="1"/>
    </w:tblPr>
    <w:tblStylePr w:type="firstRow">
      <w:rPr>
        <w:sz w:val="22"/>
      </w:rPr>
      <w:tblPr/>
      <w:tcPr>
        <w:shd w:val="clear" w:color="5D8AC2" w:fill="5D8AC2" w:themeFill="accent1" w:themeFillTint="EA"/>
      </w:tcPr>
    </w:tblStylePr>
    <w:tblStylePr w:type="lastRow">
      <w:rPr>
        <w:sz w:val="22"/>
      </w:rPr>
      <w:tblPr/>
      <w:tcPr>
        <w:shd w:val="clear" w:color="5D8AC2" w:fill="5D8AC2" w:themeFill="accent1" w:themeFillTint="EA"/>
      </w:tcPr>
    </w:tblStylePr>
    <w:tblStylePr w:type="firstCol">
      <w:rPr>
        <w:sz w:val="22"/>
      </w:rPr>
      <w:tblPr/>
      <w:tcPr>
        <w:shd w:val="clear" w:color="5D8AC2" w:fill="5D8AC2" w:themeFill="accent1" w:themeFillTint="EA"/>
      </w:tcPr>
    </w:tblStylePr>
    <w:tblStylePr w:type="lastCol">
      <w:rPr>
        <w:sz w:val="22"/>
      </w:rPr>
      <w:tblPr/>
      <w:tcPr>
        <w:shd w:val="clear" w:color="5D8AC2" w:fill="5D8AC2" w:themeFill="accent1" w:themeFillTint="EA"/>
      </w:tcPr>
    </w:tblStylePr>
    <w:tblStylePr w:type="band1Vert">
      <w:rPr>
        <w:sz w:val="22"/>
      </w:rPr>
    </w:tblStylePr>
    <w:tblStylePr w:type="band2Vert">
      <w:rPr>
        <w:sz w:val="22"/>
      </w:rPr>
      <w:tblPr/>
      <w:tcPr>
        <w:shd w:val="clear" w:color="C7D7EA" w:fill="C7D7EA" w:themeFill="accent1" w:themeFillTint="50"/>
      </w:tcPr>
    </w:tblStylePr>
    <w:tblStylePr w:type="band1Horz">
      <w:rPr>
        <w:sz w:val="22"/>
      </w:rPr>
    </w:tblStylePr>
    <w:tblStylePr w:type="band2Horz">
      <w:rPr>
        <w:sz w:val="22"/>
      </w:rPr>
      <w:tblPr/>
      <w:tcPr>
        <w:shd w:val="clear" w:color="C7D7EA" w:fill="C7D7EA" w:themeFill="accent1" w:themeFillTint="50"/>
      </w:tcPr>
    </w:tblStylePr>
  </w:style>
  <w:style w:type="table" w:customStyle="1" w:styleId="Lined-Accent2">
    <w:name w:val="Lined - Accent 2"/>
    <w:basedOn w:val="a1"/>
    <w:uiPriority w:val="99"/>
    <w:rPr>
      <w:sz w:val="20"/>
      <w:szCs w:val="20"/>
    </w:rPr>
    <w:tblPr>
      <w:tblStyleRowBandSize w:val="1"/>
      <w:tblStyleColBandSize w:val="1"/>
    </w:tblPr>
    <w:tblStylePr w:type="firstRow">
      <w:rPr>
        <w:sz w:val="22"/>
      </w:rPr>
      <w:tblPr/>
      <w:tcPr>
        <w:shd w:val="clear" w:color="D99695" w:fill="D99695" w:themeFill="accent2" w:themeFillTint="97"/>
      </w:tcPr>
    </w:tblStylePr>
    <w:tblStylePr w:type="lastRow">
      <w:rPr>
        <w:sz w:val="22"/>
      </w:rPr>
      <w:tblPr/>
      <w:tcPr>
        <w:shd w:val="clear" w:color="D99695" w:fill="D99695" w:themeFill="accent2" w:themeFillTint="97"/>
      </w:tcPr>
    </w:tblStylePr>
    <w:tblStylePr w:type="firstCol">
      <w:rPr>
        <w:sz w:val="22"/>
      </w:rPr>
      <w:tblPr/>
      <w:tcPr>
        <w:shd w:val="clear" w:color="D99695" w:fill="D99695" w:themeFill="accent2" w:themeFillTint="97"/>
      </w:tcPr>
    </w:tblStylePr>
    <w:tblStylePr w:type="lastCol">
      <w:rPr>
        <w:sz w:val="22"/>
      </w:rPr>
      <w:tblPr/>
      <w:tcPr>
        <w:shd w:val="clear" w:color="D99695" w:fill="D99695" w:themeFill="accent2" w:themeFillTint="97"/>
      </w:tcPr>
    </w:tblStylePr>
    <w:tblStylePr w:type="band1Vert">
      <w:rPr>
        <w:sz w:val="22"/>
      </w:rPr>
    </w:tblStylePr>
    <w:tblStylePr w:type="band2Vert">
      <w:rPr>
        <w:sz w:val="22"/>
      </w:rPr>
      <w:tblPr/>
      <w:tcPr>
        <w:shd w:val="clear" w:color="F2DCDC" w:fill="F2DCDC" w:themeFill="accent2" w:themeFillTint="32"/>
      </w:tcPr>
    </w:tblStylePr>
    <w:tblStylePr w:type="band1Horz">
      <w:rPr>
        <w:sz w:val="22"/>
      </w:rPr>
    </w:tblStylePr>
    <w:tblStylePr w:type="band2Horz">
      <w:rPr>
        <w:sz w:val="22"/>
      </w:rPr>
      <w:tblPr/>
      <w:tcPr>
        <w:shd w:val="clear" w:color="F2DCDC" w:fill="F2DCDC" w:themeFill="accent2" w:themeFillTint="32"/>
      </w:tcPr>
    </w:tblStylePr>
  </w:style>
  <w:style w:type="table" w:customStyle="1" w:styleId="Lined-Accent3">
    <w:name w:val="Lined - Accent 3"/>
    <w:basedOn w:val="a1"/>
    <w:uiPriority w:val="99"/>
    <w:rPr>
      <w:sz w:val="20"/>
      <w:szCs w:val="20"/>
    </w:rPr>
    <w:tblPr>
      <w:tblStyleRowBandSize w:val="1"/>
      <w:tblStyleColBandSize w:val="1"/>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StylePr>
    <w:tblStylePr w:type="band2Vert">
      <w:rPr>
        <w:sz w:val="22"/>
      </w:rPr>
      <w:tblPr/>
      <w:tcPr>
        <w:shd w:val="clear" w:color="EAF1DC" w:fill="EAF1DC" w:themeFill="accent3" w:themeFillTint="34"/>
      </w:tcPr>
    </w:tblStylePr>
    <w:tblStylePr w:type="band1Horz">
      <w:rPr>
        <w:sz w:val="22"/>
      </w:rPr>
    </w:tblStylePr>
    <w:tblStylePr w:type="band2Horz">
      <w:rPr>
        <w:sz w:val="22"/>
      </w:rPr>
      <w:tblPr/>
      <w:tcPr>
        <w:shd w:val="clear" w:color="EAF1DC" w:fill="EAF1DC" w:themeFill="accent3" w:themeFillTint="34"/>
      </w:tcPr>
    </w:tblStylePr>
  </w:style>
  <w:style w:type="table" w:customStyle="1" w:styleId="Lined-Accent4">
    <w:name w:val="Lined - Accent 4"/>
    <w:basedOn w:val="a1"/>
    <w:uiPriority w:val="99"/>
    <w:rPr>
      <w:sz w:val="20"/>
      <w:szCs w:val="20"/>
    </w:rPr>
    <w:tblPr>
      <w:tblStyleRowBandSize w:val="1"/>
      <w:tblStyleColBandSize w:val="1"/>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StylePr>
    <w:tblStylePr w:type="band2Vert">
      <w:rPr>
        <w:sz w:val="22"/>
      </w:rPr>
      <w:tblPr/>
      <w:tcPr>
        <w:shd w:val="clear" w:color="E5DFEC" w:fill="E5DFEC" w:themeFill="accent4" w:themeFillTint="34"/>
      </w:tcPr>
    </w:tblStylePr>
    <w:tblStylePr w:type="band1Horz">
      <w:rPr>
        <w:sz w:val="22"/>
      </w:rPr>
    </w:tblStylePr>
    <w:tblStylePr w:type="band2Horz">
      <w:rPr>
        <w:sz w:val="22"/>
      </w:rPr>
      <w:tblPr/>
      <w:tcPr>
        <w:shd w:val="clear" w:color="E5DFEC" w:fill="E5DFEC" w:themeFill="accent4" w:themeFillTint="34"/>
      </w:tcPr>
    </w:tblStylePr>
  </w:style>
  <w:style w:type="table" w:customStyle="1" w:styleId="Lined-Accent5">
    <w:name w:val="Lined - Accent 5"/>
    <w:basedOn w:val="a1"/>
    <w:uiPriority w:val="99"/>
    <w:rPr>
      <w:sz w:val="20"/>
      <w:szCs w:val="20"/>
    </w:rPr>
    <w:tblPr>
      <w:tblStyleRowBandSize w:val="1"/>
      <w:tblStyleColBandSize w:val="1"/>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StylePr>
    <w:tblStylePr w:type="band2Vert">
      <w:rPr>
        <w:sz w:val="22"/>
      </w:rPr>
      <w:tblPr/>
      <w:tcPr>
        <w:shd w:val="clear" w:color="DAEEF3" w:fill="DAEEF3" w:themeFill="accent5" w:themeFillTint="34"/>
      </w:tcPr>
    </w:tblStylePr>
    <w:tblStylePr w:type="band1Horz">
      <w:rPr>
        <w:sz w:val="22"/>
      </w:rPr>
    </w:tblStylePr>
    <w:tblStylePr w:type="band2Horz">
      <w:rPr>
        <w:sz w:val="22"/>
      </w:rPr>
      <w:tblPr/>
      <w:tcPr>
        <w:shd w:val="clear" w:color="DAEEF3" w:fill="DAEEF3" w:themeFill="accent5" w:themeFillTint="34"/>
      </w:tcPr>
    </w:tblStylePr>
  </w:style>
  <w:style w:type="table" w:customStyle="1" w:styleId="Lined-Accent6">
    <w:name w:val="Lined - Accent 6"/>
    <w:basedOn w:val="a1"/>
    <w:uiPriority w:val="99"/>
    <w:rPr>
      <w:sz w:val="20"/>
      <w:szCs w:val="20"/>
    </w:rPr>
    <w:tblPr>
      <w:tblStyleRowBandSize w:val="1"/>
      <w:tblStyleColBandSize w:val="1"/>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StylePr>
    <w:tblStylePr w:type="band2Vert">
      <w:rPr>
        <w:sz w:val="22"/>
      </w:rPr>
      <w:tblPr/>
      <w:tcPr>
        <w:shd w:val="clear" w:color="FDE9D8" w:fill="FDE9D8" w:themeFill="accent6" w:themeFillTint="34"/>
      </w:tcPr>
    </w:tblStylePr>
    <w:tblStylePr w:type="band1Horz">
      <w:rPr>
        <w:sz w:val="22"/>
      </w:rPr>
    </w:tblStylePr>
    <w:tblStylePr w:type="band2Horz">
      <w:rPr>
        <w:sz w:val="22"/>
      </w:rPr>
      <w:tblPr/>
      <w:tcPr>
        <w:shd w:val="clear" w:color="FDE9D8" w:fill="FDE9D8" w:themeFill="accent6" w:themeFillTint="34"/>
      </w:tcPr>
    </w:tblStylePr>
  </w:style>
  <w:style w:type="table" w:customStyle="1" w:styleId="BorderedLined-Accent">
    <w:name w:val="Bordered &amp; Lined - Accent"/>
    <w:basedOn w:val="a1"/>
    <w:uiPriority w:val="99"/>
    <w:rPr>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BorderedLined-Accent1">
    <w:name w:val="Bordered &amp; Lined - Accent 1"/>
    <w:basedOn w:val="a1"/>
    <w:uiPriority w:val="99"/>
    <w:rPr>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sz w:val="22"/>
      </w:rPr>
      <w:tblPr/>
      <w:tcPr>
        <w:shd w:val="clear" w:color="5D8AC2" w:fill="5D8AC2" w:themeFill="accent1" w:themeFillTint="EA"/>
      </w:tcPr>
    </w:tblStylePr>
    <w:tblStylePr w:type="lastRow">
      <w:rPr>
        <w:sz w:val="22"/>
      </w:rPr>
      <w:tblPr/>
      <w:tcPr>
        <w:shd w:val="clear" w:color="5D8AC2" w:fill="5D8AC2" w:themeFill="accent1" w:themeFillTint="EA"/>
      </w:tcPr>
    </w:tblStylePr>
    <w:tblStylePr w:type="firstCol">
      <w:rPr>
        <w:sz w:val="22"/>
      </w:rPr>
      <w:tblPr/>
      <w:tcPr>
        <w:shd w:val="clear" w:color="5D8AC2" w:fill="5D8AC2" w:themeFill="accent1" w:themeFillTint="EA"/>
      </w:tcPr>
    </w:tblStylePr>
    <w:tblStylePr w:type="lastCol">
      <w:rPr>
        <w:sz w:val="22"/>
      </w:rPr>
      <w:tblPr/>
      <w:tcPr>
        <w:shd w:val="clear" w:color="5D8AC2" w:fill="5D8AC2" w:themeFill="accent1" w:themeFillTint="EA"/>
      </w:tcPr>
    </w:tblStylePr>
    <w:tblStylePr w:type="band1Vert">
      <w:rPr>
        <w:sz w:val="22"/>
      </w:rPr>
    </w:tblStylePr>
    <w:tblStylePr w:type="band2Vert">
      <w:rPr>
        <w:sz w:val="22"/>
      </w:rPr>
      <w:tblPr/>
      <w:tcPr>
        <w:shd w:val="clear" w:color="C7D7EA" w:fill="C7D7EA" w:themeFill="accent1" w:themeFillTint="50"/>
      </w:tcPr>
    </w:tblStylePr>
    <w:tblStylePr w:type="band1Horz">
      <w:rPr>
        <w:sz w:val="22"/>
      </w:rPr>
    </w:tblStylePr>
    <w:tblStylePr w:type="band2Horz">
      <w:rPr>
        <w:sz w:val="22"/>
      </w:rPr>
      <w:tblPr/>
      <w:tcPr>
        <w:shd w:val="clear" w:color="C7D7EA" w:fill="C7D7EA" w:themeFill="accent1" w:themeFillTint="50"/>
      </w:tcPr>
    </w:tblStylePr>
  </w:style>
  <w:style w:type="table" w:customStyle="1" w:styleId="BorderedLined-Accent2">
    <w:name w:val="Bordered &amp; Lined - Accent 2"/>
    <w:basedOn w:val="a1"/>
    <w:uiPriority w:val="99"/>
    <w:rPr>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sz w:val="22"/>
      </w:rPr>
      <w:tblPr/>
      <w:tcPr>
        <w:shd w:val="clear" w:color="D99695" w:fill="D99695" w:themeFill="accent2" w:themeFillTint="97"/>
      </w:tcPr>
    </w:tblStylePr>
    <w:tblStylePr w:type="lastRow">
      <w:rPr>
        <w:sz w:val="22"/>
      </w:rPr>
      <w:tblPr/>
      <w:tcPr>
        <w:shd w:val="clear" w:color="D99695" w:fill="D99695" w:themeFill="accent2" w:themeFillTint="97"/>
      </w:tcPr>
    </w:tblStylePr>
    <w:tblStylePr w:type="firstCol">
      <w:rPr>
        <w:sz w:val="22"/>
      </w:rPr>
      <w:tblPr/>
      <w:tcPr>
        <w:shd w:val="clear" w:color="D99695" w:fill="D99695" w:themeFill="accent2" w:themeFillTint="97"/>
      </w:tcPr>
    </w:tblStylePr>
    <w:tblStylePr w:type="lastCol">
      <w:rPr>
        <w:sz w:val="22"/>
      </w:rPr>
      <w:tblPr/>
      <w:tcPr>
        <w:shd w:val="clear" w:color="D99695" w:fill="D99695" w:themeFill="accent2" w:themeFillTint="97"/>
      </w:tcPr>
    </w:tblStylePr>
    <w:tblStylePr w:type="band1Vert">
      <w:rPr>
        <w:sz w:val="22"/>
      </w:rPr>
    </w:tblStylePr>
    <w:tblStylePr w:type="band2Vert">
      <w:rPr>
        <w:sz w:val="22"/>
      </w:rPr>
      <w:tblPr/>
      <w:tcPr>
        <w:shd w:val="clear" w:color="F2DCDC" w:fill="F2DCDC" w:themeFill="accent2" w:themeFillTint="32"/>
      </w:tcPr>
    </w:tblStylePr>
    <w:tblStylePr w:type="band1Horz">
      <w:rPr>
        <w:sz w:val="22"/>
      </w:rPr>
    </w:tblStylePr>
    <w:tblStylePr w:type="band2Horz">
      <w:rPr>
        <w:sz w:val="22"/>
      </w:rPr>
      <w:tblPr/>
      <w:tcPr>
        <w:shd w:val="clear" w:color="F2DCDC" w:fill="F2DCDC" w:themeFill="accent2" w:themeFillTint="32"/>
      </w:tcPr>
    </w:tblStylePr>
  </w:style>
  <w:style w:type="table" w:customStyle="1" w:styleId="BorderedLined-Accent3">
    <w:name w:val="Bordered &amp; Lined - Accent 3"/>
    <w:basedOn w:val="a1"/>
    <w:uiPriority w:val="99"/>
    <w:rPr>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StylePr>
    <w:tblStylePr w:type="band2Vert">
      <w:rPr>
        <w:sz w:val="22"/>
      </w:rPr>
      <w:tblPr/>
      <w:tcPr>
        <w:shd w:val="clear" w:color="EAF1DC" w:fill="EAF1DC" w:themeFill="accent3" w:themeFillTint="34"/>
      </w:tcPr>
    </w:tblStylePr>
    <w:tblStylePr w:type="band1Horz">
      <w:rPr>
        <w:sz w:val="22"/>
      </w:rPr>
    </w:tblStylePr>
    <w:tblStylePr w:type="band2Horz">
      <w:rPr>
        <w:sz w:val="22"/>
      </w:rPr>
      <w:tblPr/>
      <w:tcPr>
        <w:shd w:val="clear" w:color="EAF1DC" w:fill="EAF1DC" w:themeFill="accent3" w:themeFillTint="34"/>
      </w:tcPr>
    </w:tblStylePr>
  </w:style>
  <w:style w:type="table" w:customStyle="1" w:styleId="BorderedLined-Accent4">
    <w:name w:val="Bordered &amp; Lined - Accent 4"/>
    <w:basedOn w:val="a1"/>
    <w:uiPriority w:val="99"/>
    <w:rPr>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StylePr>
    <w:tblStylePr w:type="band2Vert">
      <w:rPr>
        <w:sz w:val="22"/>
      </w:rPr>
      <w:tblPr/>
      <w:tcPr>
        <w:shd w:val="clear" w:color="E5DFEC" w:fill="E5DFEC" w:themeFill="accent4" w:themeFillTint="34"/>
      </w:tcPr>
    </w:tblStylePr>
    <w:tblStylePr w:type="band1Horz">
      <w:rPr>
        <w:sz w:val="22"/>
      </w:rPr>
    </w:tblStylePr>
    <w:tblStylePr w:type="band2Horz">
      <w:rPr>
        <w:sz w:val="22"/>
      </w:rPr>
      <w:tblPr/>
      <w:tcPr>
        <w:shd w:val="clear" w:color="E5DFEC" w:fill="E5DFEC" w:themeFill="accent4" w:themeFillTint="34"/>
      </w:tcPr>
    </w:tblStylePr>
  </w:style>
  <w:style w:type="table" w:customStyle="1" w:styleId="BorderedLined-Accent5">
    <w:name w:val="Bordered &amp; Lined - Accent 5"/>
    <w:basedOn w:val="a1"/>
    <w:uiPriority w:val="99"/>
    <w:rPr>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StylePr>
    <w:tblStylePr w:type="band2Vert">
      <w:rPr>
        <w:sz w:val="22"/>
      </w:rPr>
      <w:tblPr/>
      <w:tcPr>
        <w:shd w:val="clear" w:color="DAEEF3" w:fill="DAEEF3" w:themeFill="accent5" w:themeFillTint="34"/>
      </w:tcPr>
    </w:tblStylePr>
    <w:tblStylePr w:type="band1Horz">
      <w:rPr>
        <w:sz w:val="22"/>
      </w:rPr>
    </w:tblStylePr>
    <w:tblStylePr w:type="band2Horz">
      <w:rPr>
        <w:sz w:val="22"/>
      </w:rPr>
      <w:tblPr/>
      <w:tcPr>
        <w:shd w:val="clear" w:color="DAEEF3" w:fill="DAEEF3" w:themeFill="accent5" w:themeFillTint="34"/>
      </w:tcPr>
    </w:tblStylePr>
  </w:style>
  <w:style w:type="table" w:customStyle="1" w:styleId="BorderedLined-Accent6">
    <w:name w:val="Bordered &amp; Lined - Accent 6"/>
    <w:basedOn w:val="a1"/>
    <w:uiPriority w:val="99"/>
    <w:rPr>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StylePr>
    <w:tblStylePr w:type="band2Vert">
      <w:rPr>
        <w:sz w:val="22"/>
      </w:rPr>
      <w:tblPr/>
      <w:tcPr>
        <w:shd w:val="clear" w:color="FDE9D8" w:fill="FDE9D8" w:themeFill="accent6" w:themeFillTint="34"/>
      </w:tcPr>
    </w:tblStylePr>
    <w:tblStylePr w:type="band1Horz">
      <w:rPr>
        <w:sz w:val="22"/>
      </w:rPr>
    </w:tblStylePr>
    <w:tblStylePr w:type="band2Horz">
      <w:rPr>
        <w:sz w:val="22"/>
      </w:rPr>
      <w:tblPr/>
      <w:tcPr>
        <w:shd w:val="clear" w:color="FDE9D8"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sz w:val="22"/>
      </w:rPr>
      <w:tblPr/>
      <w:tcPr>
        <w:tcBorders>
          <w:bottom w:val="single" w:sz="12" w:space="0" w:color="4F81BD" w:themeColor="accent1"/>
        </w:tcBorders>
      </w:tcPr>
    </w:tblStylePr>
    <w:tblStylePr w:type="lastRow">
      <w:rPr>
        <w:sz w:val="22"/>
      </w:rPr>
      <w:tblPr/>
      <w:tcPr>
        <w:tcBorders>
          <w:top w:val="single" w:sz="12" w:space="0" w:color="4F81BD" w:themeColor="accent1"/>
        </w:tcBorders>
      </w:tcPr>
    </w:tblStylePr>
    <w:tblStylePr w:type="firstCol">
      <w:rPr>
        <w:sz w:val="22"/>
      </w:rPr>
    </w:tblStylePr>
    <w:tblStylePr w:type="lastCol">
      <w:rPr>
        <w:sz w:val="22"/>
      </w:rPr>
      <w:tblPr/>
      <w:tcPr>
        <w:tcBorders>
          <w:left w:val="single" w:sz="12" w:space="0" w:color="4F81BD" w:themeColor="accent1"/>
        </w:tcBorders>
      </w:tcPr>
    </w:tblStylePr>
    <w:tblStylePr w:type="band1Horz">
      <w:rPr>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sz w:val="22"/>
      </w:rPr>
      <w:tblPr/>
      <w:tcPr>
        <w:tcBorders>
          <w:bottom w:val="single" w:sz="12" w:space="0" w:color="C0504D" w:themeColor="accent2"/>
        </w:tcBorders>
      </w:tcPr>
    </w:tblStylePr>
    <w:tblStylePr w:type="lastRow">
      <w:rPr>
        <w:sz w:val="22"/>
      </w:rPr>
      <w:tblPr/>
      <w:tcPr>
        <w:tcBorders>
          <w:top w:val="single" w:sz="12" w:space="0" w:color="C0504D" w:themeColor="accent2"/>
        </w:tcBorders>
      </w:tcPr>
    </w:tblStylePr>
    <w:tblStylePr w:type="firstCol">
      <w:rPr>
        <w:sz w:val="22"/>
      </w:rPr>
    </w:tblStylePr>
    <w:tblStylePr w:type="lastCol">
      <w:rPr>
        <w:sz w:val="22"/>
      </w:rPr>
      <w:tblPr/>
      <w:tcPr>
        <w:tcBorders>
          <w:left w:val="single" w:sz="12" w:space="0" w:color="C0504D" w:themeColor="accent2"/>
        </w:tcBorders>
      </w:tcPr>
    </w:tblStylePr>
    <w:tblStylePr w:type="band1Horz">
      <w:rPr>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sz w:val="22"/>
      </w:rPr>
      <w:tblPr/>
      <w:tcPr>
        <w:tcBorders>
          <w:bottom w:val="single" w:sz="12" w:space="0" w:color="9BBB59" w:themeColor="accent3"/>
        </w:tcBorders>
      </w:tcPr>
    </w:tblStylePr>
    <w:tblStylePr w:type="lastRow">
      <w:rPr>
        <w:sz w:val="22"/>
      </w:rPr>
      <w:tblPr/>
      <w:tcPr>
        <w:tcBorders>
          <w:top w:val="single" w:sz="12" w:space="0" w:color="9BBB59" w:themeColor="accent3"/>
        </w:tcBorders>
      </w:tcPr>
    </w:tblStylePr>
    <w:tblStylePr w:type="firstCol">
      <w:rPr>
        <w:sz w:val="22"/>
      </w:rPr>
    </w:tblStylePr>
    <w:tblStylePr w:type="lastCol">
      <w:rPr>
        <w:sz w:val="22"/>
      </w:rPr>
      <w:tblPr/>
      <w:tcPr>
        <w:tcBorders>
          <w:left w:val="single" w:sz="12" w:space="0" w:color="9BBB59" w:themeColor="accent3"/>
        </w:tcBorders>
      </w:tcPr>
    </w:tblStylePr>
    <w:tblStylePr w:type="band1Horz">
      <w:rPr>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sz w:val="22"/>
      </w:rPr>
      <w:tblPr/>
      <w:tcPr>
        <w:tcBorders>
          <w:bottom w:val="single" w:sz="12" w:space="0" w:color="8064A2" w:themeColor="accent4"/>
        </w:tcBorders>
      </w:tcPr>
    </w:tblStylePr>
    <w:tblStylePr w:type="lastRow">
      <w:rPr>
        <w:sz w:val="22"/>
      </w:rPr>
      <w:tblPr/>
      <w:tcPr>
        <w:tcBorders>
          <w:top w:val="single" w:sz="12" w:space="0" w:color="8064A2" w:themeColor="accent4"/>
        </w:tcBorders>
      </w:tcPr>
    </w:tblStylePr>
    <w:tblStylePr w:type="firstCol">
      <w:rPr>
        <w:sz w:val="22"/>
      </w:rPr>
    </w:tblStylePr>
    <w:tblStylePr w:type="lastCol">
      <w:rPr>
        <w:sz w:val="22"/>
      </w:rPr>
      <w:tblPr/>
      <w:tcPr>
        <w:tcBorders>
          <w:left w:val="single" w:sz="12" w:space="0" w:color="8064A2" w:themeColor="accent4"/>
        </w:tcBorders>
      </w:tcPr>
    </w:tblStylePr>
    <w:tblStylePr w:type="band1Horz">
      <w:rPr>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sz w:val="22"/>
      </w:rPr>
      <w:tblPr/>
      <w:tcPr>
        <w:tcBorders>
          <w:bottom w:val="single" w:sz="12" w:space="0" w:color="4BACC6" w:themeColor="accent5"/>
        </w:tcBorders>
      </w:tcPr>
    </w:tblStylePr>
    <w:tblStylePr w:type="lastRow">
      <w:rPr>
        <w:sz w:val="22"/>
      </w:rPr>
      <w:tblPr/>
      <w:tcPr>
        <w:tcBorders>
          <w:top w:val="single" w:sz="12" w:space="0" w:color="4BACC6" w:themeColor="accent5"/>
        </w:tcBorders>
      </w:tcPr>
    </w:tblStylePr>
    <w:tblStylePr w:type="firstCol">
      <w:rPr>
        <w:sz w:val="22"/>
      </w:rPr>
    </w:tblStylePr>
    <w:tblStylePr w:type="lastCol">
      <w:rPr>
        <w:sz w:val="22"/>
      </w:rPr>
      <w:tblPr/>
      <w:tcPr>
        <w:tcBorders>
          <w:left w:val="single" w:sz="12" w:space="0" w:color="4BACC6" w:themeColor="accent5"/>
        </w:tcBorders>
      </w:tcPr>
    </w:tblStylePr>
    <w:tblStylePr w:type="band1Horz">
      <w:rPr>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sz w:val="22"/>
      </w:rPr>
      <w:tblPr/>
      <w:tcPr>
        <w:tcBorders>
          <w:bottom w:val="single" w:sz="12" w:space="0" w:color="F79646" w:themeColor="accent6"/>
        </w:tcBorders>
      </w:tcPr>
    </w:tblStylePr>
    <w:tblStylePr w:type="lastRow">
      <w:rPr>
        <w:sz w:val="22"/>
      </w:rPr>
      <w:tblPr/>
      <w:tcPr>
        <w:tcBorders>
          <w:top w:val="single" w:sz="12" w:space="0" w:color="F79646" w:themeColor="accent6"/>
        </w:tcBorders>
      </w:tcPr>
    </w:tblStylePr>
    <w:tblStylePr w:type="firstCol">
      <w:rPr>
        <w:sz w:val="22"/>
      </w:rPr>
    </w:tblStylePr>
    <w:tblStylePr w:type="lastCol">
      <w:rPr>
        <w:sz w:val="22"/>
      </w:rPr>
      <w:tblPr/>
      <w:tcPr>
        <w:tcBorders>
          <w:left w:val="single" w:sz="12" w:space="0" w:color="F79646" w:themeColor="accent6"/>
        </w:tcBorders>
      </w:tcPr>
    </w:tblStylePr>
    <w:tblStylePr w:type="band1Horz">
      <w:rPr>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0.png"/><Relationship Id="rId4" Type="http://schemas.openxmlformats.org/officeDocument/2006/relationships/settings" Target="setting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B5442-DE19-49AD-84F9-C30C83991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2196</Words>
  <Characters>12523</Characters>
  <Application>Microsoft Office Word</Application>
  <DocSecurity>0</DocSecurity>
  <Lines>104</Lines>
  <Paragraphs>29</Paragraphs>
  <ScaleCrop>false</ScaleCrop>
  <Company>LightKey.Store</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dc:creator>
  <dc:description/>
  <cp:lastModifiedBy>Виктор Радыгин</cp:lastModifiedBy>
  <cp:revision>2</cp:revision>
  <dcterms:created xsi:type="dcterms:W3CDTF">2026-05-16T16:14:00Z</dcterms:created>
  <dcterms:modified xsi:type="dcterms:W3CDTF">2026-05-16T16:14:00Z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BhE18b6NYanm_1">
    <vt:lpwstr/>
  </property>
  <property fmtid="{D5CDD505-2E9C-101B-9397-08002B2CF9AE}" pid="3" name="ZOTERO_BREF_GteYBzwvdRb8_1">
    <vt:lpwstr/>
  </property>
  <property fmtid="{D5CDD505-2E9C-101B-9397-08002B2CF9AE}" pid="4" name="ZOTERO_BREF_LtCIHFGMtUs6_1">
    <vt:lpwstr>ZOTERO_BIBL {"uncited":[],"omitted":[],"custom":[]} CSL_BIBLIOGRAPHY</vt:lpwstr>
  </property>
  <property fmtid="{D5CDD505-2E9C-101B-9397-08002B2CF9AE}" pid="5" name="ZOTERO_BREF_MXzjlWPW9khg_1">
    <vt:lpwstr>ZOTERO_ITEM CSL_CITATION {"citationID":"ZIGXQOar","properties":{"unsorted":false,"formattedCitation":"[5]","plainCitation":"[5]","noteIndex":0},"citationItems":[{"id":86,"uris":["http://zotero.org/users/20441262/items/3HW426J5"],"itemData":{"id":86,"type"</vt:lpwstr>
  </property>
  <property fmtid="{D5CDD505-2E9C-101B-9397-08002B2CF9AE}" pid="6" name="ZOTERO_BREF_MXzjlWPW9khg_2">
    <vt:lpwstr>:"webpage","language":"ru","title":"Матрица путаницы и ROC-кривая  как эффективное средство для оптимизации классификаторов машинного обучения","URL":"https://cyberleninka.ru/article/n/roc-krivaya-i-matritsa-putanitsy-kak-effektivnoe-sredstvo-dlya-optimiz</vt:lpwstr>
  </property>
  <property fmtid="{D5CDD505-2E9C-101B-9397-08002B2CF9AE}" pid="7" name="ZOTERO_BREF_MXzjlWPW9khg_3">
    <vt:lpwstr>atsii-klassifikatorov-mashinnogo-obucheniya/viewer","accessed":{"date-parts":[["2026",5,3]]}}}],"schema":"https://github.com/citation-style-language/schema/raw/master/csl-citation.json"}</vt:lpwstr>
  </property>
  <property fmtid="{D5CDD505-2E9C-101B-9397-08002B2CF9AE}" pid="8" name="ZOTERO_BREF_XuBT9WxEQnJf_1">
    <vt:lpwstr>ZOTERO_ITEM CSL_CITATION {"citationID":"u4LE441x","properties":{"formattedCitation":"[2]","plainCitation":"[2]","noteIndex":0},"citationItems":[{"id":88,"uris":["http://zotero.org/users/20441262/items/4MT64C8K"],"itemData":{"id":88,"type":"webpage","langu</vt:lpwstr>
  </property>
  <property fmtid="{D5CDD505-2E9C-101B-9397-08002B2CF9AE}" pid="9" name="ZOTERO_BREF_XuBT9WxEQnJf_2">
    <vt:lpwstr>age":"ru","title":"Анализ чувствительности метрик бинарной классификации к дисбалансу данных","URL":"https://cyberleninka.ru/article/n/analiz-chuvstvitelnosti-metrik-binarnoy-klassifikatsii-k-disbalansu-dannyh/viewer","accessed":{"date-parts":[["2026",5,6</vt:lpwstr>
  </property>
  <property fmtid="{D5CDD505-2E9C-101B-9397-08002B2CF9AE}" pid="10" name="ZOTERO_BREF_XuBT9WxEQnJf_3">
    <vt:lpwstr>]]}}}],"schema":"https://github.com/citation-style-language/schema/raw/master/csl-citation.json"}</vt:lpwstr>
  </property>
  <property fmtid="{D5CDD505-2E9C-101B-9397-08002B2CF9AE}" pid="11" name="ZOTERO_BREF_otRQr5zp8Ygd_1">
    <vt:lpwstr>ZOTERO_ITEM CSL_CITATION {"citationID":"NvgNQ4us","properties":{"formattedCitation":"[5]","plainCitation":"[5]","noteIndex":0},"citationItems":[{"id":86,"uris":["http://zotero.org/users/20441262/items/3HW426J5"],"itemData":{"id":86,"type":"webpage","langu</vt:lpwstr>
  </property>
  <property fmtid="{D5CDD505-2E9C-101B-9397-08002B2CF9AE}" pid="12" name="ZOTERO_BREF_otRQr5zp8Ygd_2">
    <vt:lpwstr>age":"ru","title":"Матрица путаницы и ROC-кривая  как эффективное средство для оптимизации классификаторов машинного обучения","URL":"https://cyberleninka.ru/article/n/roc-krivaya-i-matritsa-putanitsy-kak-effektivnoe-sredstvo-dlya-optimizatsii-klassifikat</vt:lpwstr>
  </property>
  <property fmtid="{D5CDD505-2E9C-101B-9397-08002B2CF9AE}" pid="13" name="ZOTERO_BREF_otRQr5zp8Ygd_3">
    <vt:lpwstr>orov-mashinnogo-obucheniya/viewer","accessed":{"date-parts":[["2026",5,3]]}}}],"schema":"https://github.com/citation-style-language/schema/raw/master/csl-citation.json"}</vt:lpwstr>
  </property>
  <property fmtid="{D5CDD505-2E9C-101B-9397-08002B2CF9AE}" pid="14" name="ZOTERO_PREF_1">
    <vt:lpwstr>&lt;data data-version="3" zotero-version="9.0.3"&gt;&lt;session id="hDi7PJ7a"/&gt;&lt;style id="http://www.zotero.org/styles/GOST-R-7.0.5-2008%20numeric%20alphabetic" locale="ru-RU" hasBibliography="1" bibliographyStyleHasBeenSet="1"/&gt;&lt;prefs&gt;&lt;pref name="fieldType" value</vt:lpwstr>
  </property>
  <property fmtid="{D5CDD505-2E9C-101B-9397-08002B2CF9AE}" pid="15" name="ZOTERO_PREF_2">
    <vt:lpwstr>="Bookmark"/&gt;&lt;pref name="automaticJournalAbbreviations" value="true"/&gt;&lt;/prefs&gt;&lt;/data&gt;</vt:lpwstr>
  </property>
  <property fmtid="{D5CDD505-2E9C-101B-9397-08002B2CF9AE}" pid="16" name="ZOTERO_BREF_gU8ZTZvPhWSv_1">
    <vt:lpwstr>ZOTERO_ITEM CSL_CITATION {"citationID":"pVOKszRT","properties":{"unsorted":false,"formattedCitation":"[5]","plainCitation":"[5]","noteIndex":0},"citationItems":[{"id":85,"uris":["http://zotero.org/users/20441262/items/9HIK4RYR"],"itemData":{"id":85,"type"</vt:lpwstr>
  </property>
  <property fmtid="{D5CDD505-2E9C-101B-9397-08002B2CF9AE}" pid="17" name="ZOTERO_BREF_gU8ZTZvPhWSv_2">
    <vt:lpwstr>:"webpage","language":"ru","title":"Исследование эффективности процедуры стекинга при решении задач классификации","URL":"https://cyberleninka.ru/article/n/issledovanie-effektivnosti-protsedury-stekinga-pri-reshenii-zadach-klassifikatsii/viewer","accessed</vt:lpwstr>
  </property>
  <property fmtid="{D5CDD505-2E9C-101B-9397-08002B2CF9AE}" pid="18" name="ZOTERO_BREF_gU8ZTZvPhWSv_3">
    <vt:lpwstr>":{"date-parts":[["2026",5,4]]}}}],"schema":"https://github.com/citation-style-language/schema/raw/master/csl-citation.json"}</vt:lpwstr>
  </property>
  <property fmtid="{D5CDD505-2E9C-101B-9397-08002B2CF9AE}" pid="19" name="ZOTERO_BREF_bs04qNDD6enG_1">
    <vt:lpwstr>ZOTERO_ITEM CSL_CITATION {"citationID":"eQpN4Dcr","properties":{"unsorted":false,"formattedCitation":"[7]","plainCitation":"[7]","noteIndex":0},"citationItems":[{"id":84,"uris":["http://zotero.org/users/20441262/items/TBQB3WYJ"],"itemData":{"id":84,"type"</vt:lpwstr>
  </property>
  <property fmtid="{D5CDD505-2E9C-101B-9397-08002B2CF9AE}" pid="20" name="ZOTERO_BREF_bs04qNDD6enG_2">
    <vt:lpwstr>:"webpage","language":"ru","title":"Применение модели градиентного бустинга в задачах регрессии","URL":"https://cyberleninka.ru/article/n/primenenie-modeli-gradientnogo-bustinga-v-zadachah-regressii/viewer","accessed":{"date-parts":[["2026",5,10]]}}}],"sc</vt:lpwstr>
  </property>
  <property fmtid="{D5CDD505-2E9C-101B-9397-08002B2CF9AE}" pid="21" name="ZOTERO_BREF_bs04qNDD6enG_3">
    <vt:lpwstr>hema":"https://github.com/citation-style-language/schema/raw/master/csl-citation.json"}</vt:lpwstr>
  </property>
  <property fmtid="{D5CDD505-2E9C-101B-9397-08002B2CF9AE}" pid="22" name="ZOTERO_BREF_dZXde97pOUz6_1">
    <vt:lpwstr>ZOTERO_ITEM CSL_CITATION {"citationID":"4MWVLqdd","properties":{"unsorted":false,"formattedCitation":"[2]","plainCitation":"[2]","noteIndex":0},"citationItems":[{"id":82,"uris":["http://zotero.org/users/20441262/items/8K8S66SJ"],"itemData":{"id":82,"type"</vt:lpwstr>
  </property>
  <property fmtid="{D5CDD505-2E9C-101B-9397-08002B2CF9AE}" pid="23" name="ZOTERO_BREF_dZXde97pOUz6_2">
    <vt:lpwstr>:"webpage","language":"ru","title":"Алгоритм машинного обучения адаптивный случайный лес и его применение","URL":"https://cyberleninka.ru/article/n/algoritm-mashinnogo-obucheniya-adaptivnyy-sluchaynyy-les-i-ego-primenenie/viewer","accessed":{"date-parts":</vt:lpwstr>
  </property>
  <property fmtid="{D5CDD505-2E9C-101B-9397-08002B2CF9AE}" pid="24" name="ZOTERO_BREF_dZXde97pOUz6_3">
    <vt:lpwstr>[["2026",5,3]]}}}],"schema":"https://github.com/citation-style-language/schema/raw/master/csl-citation.json"}</vt:lpwstr>
  </property>
  <property fmtid="{D5CDD505-2E9C-101B-9397-08002B2CF9AE}" pid="25" name="ZOTERO_BREF_G1jzHfPGxiyA_1">
    <vt:lpwstr>ZOTERO_ITEM CSL_CITATION {"citationID":"JWduB9cT","properties":{"unsorted":false,"formattedCitation":"[4]","plainCitation":"[4]","noteIndex":0},"citationItems":[{"id":86,"uris":["http://zotero.org/users/20441262/items/CNTAPP66"],"itemData":{"id":86,"type"</vt:lpwstr>
  </property>
  <property fmtid="{D5CDD505-2E9C-101B-9397-08002B2CF9AE}" pid="26" name="ZOTERO_BREF_G1jzHfPGxiyA_2">
    <vt:lpwstr>:"webpage","language":"ru","title":"Аналитический обзор методов оценки качества алгоритмов классификации в задачах машинного обучения","URL":"https://cyberleninka.ru/article/n/analiticheskiy-obzor-metodov-otsenki-kachestva-algoritmov-klassifikatsii-v-zada</vt:lpwstr>
  </property>
  <property fmtid="{D5CDD505-2E9C-101B-9397-08002B2CF9AE}" pid="27" name="ZOTERO_BREF_G1jzHfPGxiyA_3">
    <vt:lpwstr>chah-mashinnogo-obucheniya/viewer","accessed":{"date-parts":[["2026",5,10]]}}}],"schema":"https://github.com/citation-style-language/schema/raw/master/csl-citation.json"}</vt:lpwstr>
  </property>
  <property fmtid="{D5CDD505-2E9C-101B-9397-08002B2CF9AE}" pid="28" name="ZOTERO_BREF_byklomVVf2sC_1">
    <vt:lpwstr>ZOTERO_ITEM CSL_CITATION {"citationID":"ApdeDHwh","properties":{"unsorted":false,"formattedCitation":"[6]","plainCitation":"[6]","noteIndex":0},"citationItems":[{"id":80,"uris":["http://zotero.org/users/20441262/items/3HW426J5"],"itemData":{"id":80,"type"</vt:lpwstr>
  </property>
  <property fmtid="{D5CDD505-2E9C-101B-9397-08002B2CF9AE}" pid="29" name="ZOTERO_BREF_byklomVVf2sC_2">
    <vt:lpwstr>:"webpage","language":"ru","title":"Матрица путаницы и ROC-кривая  как эффективное средство для оптимизации классификаторов машинного обучения","URL":"https://cyberleninka.ru/article/n/roc-krivaya-i-matritsa-putanitsy-kak-effektivnoe-sredstvo-dlya-optimiz</vt:lpwstr>
  </property>
  <property fmtid="{D5CDD505-2E9C-101B-9397-08002B2CF9AE}" pid="30" name="ZOTERO_BREF_byklomVVf2sC_3">
    <vt:lpwstr>atsii-klassifikatorov-mashinnogo-obucheniya/viewer","accessed":{"date-parts":[["2026",5,3]]}}}],"schema":"https://github.com/citation-style-language/schema/raw/master/csl-citation.json"}</vt:lpwstr>
  </property>
  <property fmtid="{D5CDD505-2E9C-101B-9397-08002B2CF9AE}" pid="31" name="ZOTERO_BREF_3JYVMnvhz0Ke_1">
    <vt:lpwstr>ZOTERO_ITEM CSL_CITATION {"citationID":"O6MlRLsZ","properties":{"unsorted":false,"formattedCitation":"[1; 3]","plainCitation":"[1; 3]","noteIndex":0},"citationItems":[{"id":81,"uris":["http://zotero.org/users/20441262/items/4MT64C8K"],"itemData":{"id":81,</vt:lpwstr>
  </property>
  <property fmtid="{D5CDD505-2E9C-101B-9397-08002B2CF9AE}" pid="32" name="ZOTERO_BREF_3JYVMnvhz0Ke_2">
    <vt:lpwstr>"type":"webpage","language":"ru","title":"Анализ чувствительности метрик бинарной классификации к дисбалансу данных","URL":"https://cyberleninka.ru/article/n/analiz-chuvstvitelnosti-metrik-binarnoy-klassifikatsii-k-disbalansu-dannyh/viewer","accessed":{"d</vt:lpwstr>
  </property>
  <property fmtid="{D5CDD505-2E9C-101B-9397-08002B2CF9AE}" pid="33" name="ZOTERO_BREF_3JYVMnvhz0Ke_3">
    <vt:lpwstr>ate-parts":[["2026",5,6]]}}},{"id":87,"uris":["http://zotero.org/users/20441262/items/Y7HL3AY8"],"itemData":{"id":87,"type":"webpage","language":"en","title":"Accuracy improving of pre-trained neural networks by fine tuning","URL":"https://cyberleninka.ru</vt:lpwstr>
  </property>
  <property fmtid="{D5CDD505-2E9C-101B-9397-08002B2CF9AE}" pid="34" name="ZOTERO_BREF_3JYVMnvhz0Ke_4">
    <vt:lpwstr>/article/n/accuracy-improving-of-pre-trained-neural-networks-by-fine-tuning/viewer","accessed":{"date-parts":[["2026",5,10]]}}}],"schema":"https://github.com/citation-style-language/schema/raw/master/csl-citation.json"}</vt:lpwstr>
  </property>
  <property fmtid="{D5CDD505-2E9C-101B-9397-08002B2CF9AE}" pid="35" name="ZOTERO_BREF_jC159brezzVz_1">
    <vt:lpwstr>ZOTERO_ITEM CSL_CITATION {"citationID":"NyhgNrxz","properties":{"unsorted":false,"formattedCitation":"[8]","plainCitation":"[8]","noteIndex":0},"citationItems":[{"id":83,"uris":["http://zotero.org/users/20441262/items/BWLYCXMX"],"itemData":{"id":83,"type"</vt:lpwstr>
  </property>
  <property fmtid="{D5CDD505-2E9C-101B-9397-08002B2CF9AE}" pid="36" name="ZOTERO_BREF_jC159brezzVz_2">
    <vt:lpwstr>:"webpage","language":"ru","title":"Сравнительный обзор методов машинного обучения для анализа больших данных","URL":"https://cyberleninka.ru/article/n/sravnitelnyy-obzor-metodov-mashinnogo-obucheniya-dlya-analiza-bolshih-dannyh/viewer","accessed":{"date-</vt:lpwstr>
  </property>
  <property fmtid="{D5CDD505-2E9C-101B-9397-08002B2CF9AE}" pid="37" name="ZOTERO_BREF_jC159brezzVz_3">
    <vt:lpwstr>parts":[["2026",5,10]]}}}],"schema":"https://github.com/citation-style-language/schema/raw/master/csl-citation.json"}</vt:lpwstr>
  </property>
  <property fmtid="{D5CDD505-2E9C-101B-9397-08002B2CF9AE}" pid="38" name="ZOTERO_BREF_Je5LKttl54Sz_1">
    <vt:lpwstr>ZOTERO_BIBL {"uncited":[],"omitted":[],"custom":[]} CSL_BIBLIOGRAPHY</vt:lpwstr>
  </property>
</Properties>
</file>