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D78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24"/>
              </w:rPr>
              <w:t>MOC / concordIA</w:t>
            </w:r>
          </w:p>
        </w:tc>
      </w:tr>
    </w:tbl>
    <w:p>
      <w:pPr>
        <w:spacing w:after="400"/>
      </w:pPr>
    </w:p>
    <w:p>
      <w:pPr>
        <w:pStyle w:val="Title"/>
        <w:jc w:val="left"/>
      </w:pPr>
      <w:r>
        <w:t>Cuaderno de decisión</w:t>
        <w:br/>
        <w:t>semántica del Pentacoro</w:t>
      </w:r>
    </w:p>
    <w:p>
      <w:pPr>
        <w:pStyle w:val="Subtitle"/>
      </w:pPr>
      <w:r>
        <w:t>P, Eaf, Act, V y S: definiciones candidatas, fronteras y relaciones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8" w:color="A66A00"/>
          <w:left w:val="single" w:sz="8" w:color="A66A00"/>
          <w:bottom w:val="single" w:sz="8" w:color="A66A00"/>
          <w:right w:val="single" w:sz="8" w:color="A66A00"/>
          <w:insideH w:val="single" w:sz="8" w:color="A66A00"/>
          <w:insideV w:val="single" w:sz="8" w:color="A66A0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3CD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A66A00"/>
                <w:sz w:val="21"/>
              </w:rPr>
              <w:t>ESTATUTO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sz w:val="19"/>
              </w:rPr>
              <w:t>LISTO PARA REVISIÓN HUMANA · NO APROBADO · NO CANÓNICO · G0 NO AUTORIZADO</w:t>
            </w:r>
          </w:p>
        </w:tc>
      </w:tr>
    </w:tbl>
    <w:p>
      <w:pPr>
        <w:spacing w:after="0"/>
      </w:pPr>
    </w:p>
    <w:p>
      <w:pPr>
        <w:spacing w:before="360" w:after="160"/>
      </w:pPr>
      <w:r>
        <w:rPr>
          <w:rFonts w:ascii="Calibri" w:hAnsi="Calibri" w:eastAsia="Calibri"/>
          <w:b/>
          <w:color w:val="1F4D78"/>
          <w:sz w:val="24"/>
        </w:rPr>
        <w:t>Propósito</w:t>
      </w:r>
    </w:p>
    <w:p>
      <w:r>
        <w:t>Dar a la autoridad humana MOC un conjunto pequeño de decisiones comprensibles: qué significa cada componente, qué evidencia lo distingue y qué relación puede tener con los demás. El documento no aprueba esas decisiones; las hace revisables.</w:t>
      </w:r>
    </w:p>
    <w:p>
      <w:pPr>
        <w:spacing w:before="320"/>
      </w:pPr>
      <w:r>
        <w:rPr>
          <w:rFonts w:ascii="Calibri" w:hAnsi="Calibri" w:eastAsia="Calibri"/>
          <w:color w:val="5B6573"/>
          <w:sz w:val="18"/>
        </w:rPr>
        <w:t>Versión de trabajo · 2026-08-16</w:t>
      </w:r>
    </w:p>
    <w:p>
      <w:r>
        <w:br w:type="page"/>
      </w:r>
    </w:p>
    <w:p>
      <w:pPr>
        <w:pStyle w:val="Heading1"/>
      </w:pPr>
      <w:r>
        <w:t>1. Qué se decide — y qué no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8" w:color="A13A2A"/>
          <w:left w:val="single" w:sz="8" w:color="A13A2A"/>
          <w:bottom w:val="single" w:sz="8" w:color="A13A2A"/>
          <w:right w:val="single" w:sz="8" w:color="A13A2A"/>
          <w:insideH w:val="single" w:sz="8" w:color="A13A2A"/>
          <w:insideV w:val="single" w:sz="8" w:color="A13A2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BE9E7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A13A2A"/>
                <w:sz w:val="21"/>
              </w:rPr>
              <w:t>Regla central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sz w:val="19"/>
              </w:rPr>
              <w:t>Las cuatro obras consultadas pueden aportar formulaciones y contraejemplos. No pueden decidir por MOC qué significan P, Eaf, Act, V y S.</w:t>
            </w:r>
          </w:p>
        </w:tc>
      </w:tr>
    </w:tbl>
    <w:p>
      <w:pPr>
        <w:spacing w:after="0"/>
      </w:pPr>
    </w:p>
    <w:p>
      <w:pPr>
        <w:pStyle w:val="ListBullet"/>
        <w:spacing w:after="80" w:line="276" w:lineRule="auto"/>
      </w:pPr>
      <w:r>
        <w:rPr>
          <w:rFonts w:ascii="Calibri" w:hAnsi="Calibri" w:eastAsia="Calibri"/>
          <w:sz w:val="21"/>
        </w:rPr>
        <w:t>Sí se decide aquí: definiciones candidatas, límites entre componentes, evidencia narrativa y relaciones que merecen ser probadas.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  <w:sz w:val="21"/>
        </w:rPr>
        <w:t>No se decide aquí: que MOC sea verdadero, mínimo, predictivo o clínicamente válido.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  <w:sz w:val="21"/>
        </w:rPr>
        <w:t>No se autoriza aquí: G0, entrenamiento, canonización, activación ni incorporación automática a ConcordIA.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  <w:sz w:val="21"/>
        </w:rPr>
        <w:t>Las afirmaciones sobre extraterrestres, vibraciones, realidades paralelas o causalidad cósmica se tratan como contenido del corpus, no como hechos científicos.</w:t>
      </w:r>
    </w:p>
    <w:p>
      <w:pPr>
        <w:pStyle w:val="Heading2"/>
      </w:pPr>
      <w:r>
        <w:t>Tres capas que no deben mezclarse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C8D0D9"/>
          <w:left w:val="single" w:sz="4" w:color="C8D0D9"/>
          <w:bottom w:val="single" w:sz="4" w:color="C8D0D9"/>
          <w:right w:val="single" w:sz="4" w:color="C8D0D9"/>
          <w:insideH w:val="single" w:sz="4" w:color="C8D0D9"/>
          <w:insideV w:val="single" w:sz="4" w:color="C8D0D9"/>
        </w:tblBorders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Capa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Qué contiene</w:t>
            </w:r>
          </w:p>
        </w:tc>
        <w:tc>
          <w:tcPr>
            <w:tcW w:type="dxa" w:w="3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Autoridad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A. Texto de fuente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Lo que las obras dicen o presuponen.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Sólo describe el corpus.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B. Reconstrucción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Relaciones que el análisis abstrae del corpus.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Hipótesis revisable.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C. Decisión MOC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Definición o regla aprobada por la autoridad humana.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Pendiente hasta firma explícita.</w:t>
            </w:r>
          </w:p>
        </w:tc>
      </w:tr>
    </w:tbl>
    <w:p>
      <w:pPr>
        <w:spacing w:after="0" w:line="20" w:lineRule="exact"/>
      </w:pPr>
    </w:p>
    <w:p>
      <w:pPr>
        <w:pStyle w:val="Heading2"/>
      </w:pPr>
      <w:r>
        <w:t>Cómo usar el cuaderno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  <w:sz w:val="21"/>
        </w:rPr>
        <w:t>Lea primero las cinco definiciones. Apruebe, revise o rechace cada una.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  <w:sz w:val="21"/>
        </w:rPr>
        <w:t>Revise después las siete fronteras difíciles y las diez relaciones por pares.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  <w:sz w:val="21"/>
        </w:rPr>
        <w:t>Por último, decida si el árbol de observación produce respuestas claras sin etiquetas técnicas heredadas.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  <w:sz w:val="21"/>
        </w:rPr>
        <w:t>Una aprobación parcial se registra como parcial. Incorporar el expediente no equivale a aprobarlo.</w:t>
      </w:r>
    </w:p>
    <w:p>
      <w:r>
        <w:br w:type="page"/>
      </w:r>
    </w:p>
    <w:p>
      <w:pPr>
        <w:pStyle w:val="Heading1"/>
      </w:pPr>
      <w:r>
        <w:t>2. Las respuestas observables, en cristiano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C8D0D9"/>
          <w:left w:val="single" w:sz="4" w:color="C8D0D9"/>
          <w:bottom w:val="single" w:sz="4" w:color="C8D0D9"/>
          <w:right w:val="single" w:sz="4" w:color="C8D0D9"/>
          <w:insideH w:val="single" w:sz="4" w:color="C8D0D9"/>
          <w:insideV w:val="single" w:sz="4" w:color="C8D0D9"/>
        </w:tblBorders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Pregunta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Respuesta propuesta</w:t>
            </w:r>
          </w:p>
        </w:tc>
        <w:tc>
          <w:tcPr>
            <w:tcW w:type="dxa" w:w="4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Significado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¿Aparece?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SÍ / NO / DUDOSO / NO SÉ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Presencia, ausencia, dos lecturas plausibles o información insuficiente.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¿Cambió?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CAMBIÓ / SE MANTUVO / NO SÉ / NO SE PUEDE COMPARAR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Transición, estabilidad, falta de evidencia o un solo momento.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¿De quién es?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SUJETO / CITA / HIPÓTESIS / CONTEXTO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Atribución al protagonista, a otra voz, al narrador o al entorno.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¿Qué lo demuestra?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FRAGMENTO + EXPLICACIÓN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La palabra gatillo por sí sola nunca basta.</w:t>
            </w:r>
          </w:p>
        </w:tc>
      </w:tr>
    </w:tbl>
    <w:p>
      <w:pPr>
        <w:spacing w:after="0" w:line="20" w:lineRule="exact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color="2E74B5"/>
          <w:left w:val="single" w:sz="6" w:color="2E74B5"/>
          <w:bottom w:val="single" w:sz="6" w:color="2E74B5"/>
          <w:right w:val="single" w:sz="6" w:color="2E74B5"/>
          <w:insideH w:val="single" w:sz="6" w:color="2E74B5"/>
          <w:insideV w:val="single" w:sz="6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DECISIÓN HUMANA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80"/>
            </w:pPr>
            <w:r>
              <w:rPr>
                <w:rFonts w:ascii="Calibri" w:hAnsi="Calibri" w:eastAsia="Calibri"/>
                <w:b/>
                <w:sz w:val="19"/>
              </w:rPr>
              <w:t>¿Estas respuestas son suficientemente claras para revisar casos sin usar etiquetas heredadas?</w:t>
            </w:r>
          </w:p>
          <w:p>
            <w:pPr>
              <w:spacing w:after="80"/>
            </w:pPr>
            <w:r>
              <w:rPr>
                <w:rFonts w:ascii="Calibri" w:hAnsi="Calibri" w:eastAsia="Calibri"/>
                <w:b/>
                <w:color w:val="2E74B5"/>
                <w:sz w:val="19"/>
              </w:rPr>
              <w:t>[  ] APROBAR    [  ] REVISAR    [  ] RECHAZAR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5B6573"/>
                <w:sz w:val="17"/>
              </w:rPr>
              <w:t>Redacción alternativa / observaciones: 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Definiciones candidatas de los cinco componentes</w:t>
      </w:r>
    </w:p>
    <w:p>
      <w:pPr>
        <w:pStyle w:val="Heading2"/>
      </w:pPr>
      <w:r>
        <w:t>P — interpretación o definición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8" w:color="1F4D78"/>
          <w:left w:val="single" w:sz="8" w:color="1F4D78"/>
          <w:bottom w:val="single" w:sz="8" w:color="1F4D78"/>
          <w:right w:val="single" w:sz="8" w:color="1F4D78"/>
          <w:insideH w:val="single" w:sz="8" w:color="1F4D78"/>
          <w:insideV w:val="single" w:sz="8" w:color="1F4D7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7F4EA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Definición candidata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sz w:val="19"/>
              </w:rPr>
              <w:t>La manera en que el sujeto entiende, define o da significado a algo de su experiencia.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Cuenta como evidencia positiva: </w:t>
      </w:r>
      <w:r>
        <w:rPr>
          <w:rFonts w:ascii="Calibri" w:hAnsi="Calibri" w:eastAsia="Calibri"/>
        </w:rPr>
        <w:t xml:space="preserve">Una formulación atribuible al sujeto que responde, de manera explícita o reconstruible, ‘qué significa esto para mí’ o ‘qué creo que está ocurriendo’. </w:t>
      </w:r>
    </w:p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No basta para marcarlo: </w:t>
      </w:r>
      <w:r>
        <w:rPr>
          <w:rFonts w:ascii="Calibri" w:hAnsi="Calibri" w:eastAsia="Calibri"/>
        </w:rPr>
        <w:t>Una descripción factual, una cita ajena, una preferencia o una emoción sin interpretación identificable.</w:t>
      </w:r>
    </w:p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Frontera principal: </w:t>
      </w:r>
      <w:r>
        <w:rPr>
          <w:rFonts w:ascii="Calibri" w:hAnsi="Calibri" w:eastAsia="Calibri"/>
        </w:rPr>
        <w:t>P explica o define; V aporta un criterio de importancia o dirección. Que una interpretación se sienta convincente no prueba todavía que exista un V separado.</w:t>
      </w:r>
    </w:p>
    <w:p>
      <w:pPr>
        <w:keepLines/>
        <w:spacing w:after="100"/>
        <w:ind w:left="259" w:right="259"/>
      </w:pPr>
      <w:r>
        <w:rPr>
          <w:rFonts w:ascii="Calibri" w:hAnsi="Calibri" w:eastAsia="Calibri"/>
          <w:b/>
          <w:color w:val="1F4D78"/>
          <w:sz w:val="17"/>
        </w:rPr>
        <w:t xml:space="preserve">Evidencia de fuente. </w:t>
      </w:r>
      <w:r>
        <w:rPr>
          <w:rFonts w:ascii="Calibri" w:hAnsi="Calibri" w:eastAsia="Calibri"/>
          <w:color w:val="5B6573"/>
          <w:sz w:val="17"/>
        </w:rPr>
        <w:t>S1 formula repetidamente una secuencia desde creencias/definiciones hacia percepción, emoción, pensamiento y acción (p. 334; pp. 2697–2698). S4 distingue definición de creencia: la primera funciona como plano y la segunda como certeza de que ese plano es correcto (spine 18, cap. 6).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color="2E74B5"/>
          <w:left w:val="single" w:sz="6" w:color="2E74B5"/>
          <w:bottom w:val="single" w:sz="6" w:color="2E74B5"/>
          <w:right w:val="single" w:sz="6" w:color="2E74B5"/>
          <w:insideH w:val="single" w:sz="6" w:color="2E74B5"/>
          <w:insideV w:val="single" w:sz="6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DECISIÓN HUMANA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80"/>
            </w:pPr>
            <w:r>
              <w:rPr>
                <w:rFonts w:ascii="Calibri" w:hAnsi="Calibri" w:eastAsia="Calibri"/>
                <w:b/>
                <w:sz w:val="19"/>
              </w:rPr>
              <w:t>¿Apruebas que P sea la interpretación/definición del sujeto, sin incluir por defecto la certeza, la importancia ni la preferencia?</w:t>
            </w:r>
          </w:p>
          <w:p>
            <w:pPr>
              <w:spacing w:after="80"/>
            </w:pPr>
            <w:r>
              <w:rPr>
                <w:rFonts w:ascii="Calibri" w:hAnsi="Calibri" w:eastAsia="Calibri"/>
                <w:b/>
                <w:color w:val="2E74B5"/>
                <w:sz w:val="19"/>
              </w:rPr>
              <w:t>[  ] APROBAR    [  ] REVISAR    [  ] RECHAZAR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5B6573"/>
                <w:sz w:val="17"/>
              </w:rPr>
              <w:t>Redacción alternativa / observaciones: ______________________________________________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Eaf — estado emocional-afectivo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8" w:color="1F4D78"/>
          <w:left w:val="single" w:sz="8" w:color="1F4D78"/>
          <w:bottom w:val="single" w:sz="8" w:color="1F4D78"/>
          <w:right w:val="single" w:sz="8" w:color="1F4D78"/>
          <w:insideH w:val="single" w:sz="8" w:color="1F4D78"/>
          <w:insideV w:val="single" w:sz="8" w:color="1F4D7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7F4EA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Definición candidata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sz w:val="19"/>
              </w:rPr>
              <w:t>La vivencia emocional o afectiva atribuible al sujeto en el momento descrito; puede ser explícita, implícita o no observable.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Cuenta como evidencia positiva: </w:t>
      </w:r>
      <w:r>
        <w:rPr>
          <w:rFonts w:ascii="Calibri" w:hAnsi="Calibri" w:eastAsia="Calibri"/>
        </w:rPr>
        <w:t>Una emoción, sensación afectiva o reacción corporal-afectiva atribuida al sujeto y vinculada al episodio.</w:t>
      </w:r>
    </w:p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No basta para marcarlo: </w:t>
      </w:r>
      <w:r>
        <w:rPr>
          <w:rFonts w:ascii="Calibri" w:hAnsi="Calibri" w:eastAsia="Calibri"/>
        </w:rPr>
        <w:t>Una palabra emocional usada por otra persona, un juicio del narrador, una situación difícil sin reacción atribuida o una orientación valorativa sin afecto.</w:t>
      </w:r>
    </w:p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Frontera principal: </w:t>
      </w:r>
      <w:r>
        <w:rPr>
          <w:rFonts w:ascii="Calibri" w:hAnsi="Calibri" w:eastAsia="Calibri"/>
        </w:rPr>
        <w:t>Eaf no es la situación que lo acompaña ni el criterio con el que el sujeto evalúa esa situación. Tampoco toda emoción revela un valor estable.</w:t>
      </w:r>
    </w:p>
    <w:p>
      <w:pPr>
        <w:keepLines/>
        <w:spacing w:after="100"/>
        <w:ind w:left="259" w:right="259"/>
      </w:pPr>
      <w:r>
        <w:rPr>
          <w:rFonts w:ascii="Calibri" w:hAnsi="Calibri" w:eastAsia="Calibri"/>
          <w:b/>
          <w:color w:val="1F4D78"/>
          <w:sz w:val="17"/>
        </w:rPr>
        <w:t xml:space="preserve">Evidencia de fuente. </w:t>
      </w:r>
      <w:r>
        <w:rPr>
          <w:rFonts w:ascii="Calibri" w:hAnsi="Calibri" w:eastAsia="Calibri"/>
          <w:color w:val="5B6573"/>
          <w:sz w:val="17"/>
        </w:rPr>
        <w:t>S1 y S4 presentan la emoción como expresión o refuerzo de una definición (S1 pp. 2697–2698; S4 spine 15, cap. 5). S4 ofrece un contraejemplo decisivo: una creencia negativa puede generar una sensación positiva al ser elegida; por tanto, sensación agradable no equivale a orientación valiosa.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color="2E74B5"/>
          <w:left w:val="single" w:sz="6" w:color="2E74B5"/>
          <w:bottom w:val="single" w:sz="6" w:color="2E74B5"/>
          <w:right w:val="single" w:sz="6" w:color="2E74B5"/>
          <w:insideH w:val="single" w:sz="6" w:color="2E74B5"/>
          <w:insideV w:val="single" w:sz="6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DECISIÓN HUMANA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80"/>
            </w:pPr>
            <w:r>
              <w:rPr>
                <w:rFonts w:ascii="Calibri" w:hAnsi="Calibri" w:eastAsia="Calibri"/>
                <w:b/>
                <w:sz w:val="19"/>
              </w:rPr>
              <w:t>¿Apruebas que Eaf requiera una experiencia afectiva atribuible y que una palabra emocional aislada no sea suficiente?</w:t>
            </w:r>
          </w:p>
          <w:p>
            <w:pPr>
              <w:spacing w:after="80"/>
            </w:pPr>
            <w:r>
              <w:rPr>
                <w:rFonts w:ascii="Calibri" w:hAnsi="Calibri" w:eastAsia="Calibri"/>
                <w:b/>
                <w:color w:val="2E74B5"/>
                <w:sz w:val="19"/>
              </w:rPr>
              <w:t>[  ] APROBAR    [  ] REVISAR    [  ] RECHAZAR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5B6573"/>
                <w:sz w:val="17"/>
              </w:rPr>
              <w:t>Redacción alternativa / observaciones: ______________________________________________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Act — modo de responder o no responder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8" w:color="1F4D78"/>
          <w:left w:val="single" w:sz="8" w:color="1F4D78"/>
          <w:bottom w:val="single" w:sz="8" w:color="1F4D78"/>
          <w:right w:val="single" w:sz="8" w:color="1F4D78"/>
          <w:insideH w:val="single" w:sz="8" w:color="1F4D78"/>
          <w:insideV w:val="single" w:sz="8" w:color="1F4D7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7F4EA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Definición candidata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sz w:val="19"/>
              </w:rPr>
              <w:t>La pauta mediante la cual el sujeto afronta, permite, evita, elige o ejecuta algo; puede expresarse internamente o exteriorizarse en conducta.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Cuenta como evidencia positiva: </w:t>
      </w:r>
      <w:r>
        <w:rPr>
          <w:rFonts w:ascii="Calibri" w:hAnsi="Calibri" w:eastAsia="Calibri"/>
        </w:rPr>
        <w:t>Una respuesta atribuible: actuar, permitir, detener, evitar, sostener, elegir o no actuar cuando esa no acción forma parte de la pauta descrita.</w:t>
      </w:r>
    </w:p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No basta para marcarlo: </w:t>
      </w:r>
      <w:r>
        <w:rPr>
          <w:rFonts w:ascii="Calibri" w:hAnsi="Calibri" w:eastAsia="Calibri"/>
        </w:rPr>
        <w:t>Movimiento corporal sin sentido experiencial reconstruible, intención sin respuesta, deseo sin elección o conducta de otra persona.</w:t>
      </w:r>
    </w:p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Frontera principal: </w:t>
      </w:r>
      <w:r>
        <w:rPr>
          <w:rFonts w:ascii="Calibri" w:hAnsi="Calibri" w:eastAsia="Calibri"/>
        </w:rPr>
        <w:t>Act no es idéntico a conducta observable. Elección, intención, intento y ejecución deben conservarse como momentos distinguibles cuando el texto los permite.</w:t>
      </w:r>
    </w:p>
    <w:p>
      <w:pPr>
        <w:keepLines/>
        <w:spacing w:after="100"/>
        <w:ind w:left="259" w:right="259"/>
      </w:pPr>
      <w:r>
        <w:rPr>
          <w:rFonts w:ascii="Calibri" w:hAnsi="Calibri" w:eastAsia="Calibri"/>
          <w:b/>
          <w:color w:val="1F4D78"/>
          <w:sz w:val="17"/>
        </w:rPr>
        <w:t xml:space="preserve">Evidencia de fuente. </w:t>
      </w:r>
      <w:r>
        <w:rPr>
          <w:rFonts w:ascii="Calibri" w:hAnsi="Calibri" w:eastAsia="Calibri"/>
          <w:color w:val="5B6573"/>
          <w:sz w:val="17"/>
        </w:rPr>
        <w:t>S1 relaciona definición, motivación y elección (p. 1754) y separa preferencia de acción (pp. 2017–2022). S3 distingue intención, oportunidad y acción (spine 1, enero 2025). S4 llama a la conducta una capa de refuerzo de creencias, lo que muestra relación, no identidad (spines 15 y 18).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color="2E74B5"/>
          <w:left w:val="single" w:sz="6" w:color="2E74B5"/>
          <w:bottom w:val="single" w:sz="6" w:color="2E74B5"/>
          <w:right w:val="single" w:sz="6" w:color="2E74B5"/>
          <w:insideH w:val="single" w:sz="6" w:color="2E74B5"/>
          <w:insideV w:val="single" w:sz="6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DECISIÓN HUMANA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80"/>
            </w:pPr>
            <w:r>
              <w:rPr>
                <w:rFonts w:ascii="Calibri" w:hAnsi="Calibri" w:eastAsia="Calibri"/>
                <w:b/>
                <w:sz w:val="19"/>
              </w:rPr>
              <w:t>¿Apruebas Act como modo de respuesta, incluyendo acción y no acción significativas, sin convertir toda conducta en Act?</w:t>
            </w:r>
          </w:p>
          <w:p>
            <w:pPr>
              <w:spacing w:after="80"/>
            </w:pPr>
            <w:r>
              <w:rPr>
                <w:rFonts w:ascii="Calibri" w:hAnsi="Calibri" w:eastAsia="Calibri"/>
                <w:b/>
                <w:color w:val="2E74B5"/>
                <w:sz w:val="19"/>
              </w:rPr>
              <w:t>[  ] APROBAR    [  ] REVISAR    [  ] RECHAZAR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5B6573"/>
                <w:sz w:val="17"/>
              </w:rPr>
              <w:t>Redacción alternativa / observaciones: ______________________________________________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V — criterio de importancia o dirección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8" w:color="1F4D78"/>
          <w:left w:val="single" w:sz="8" w:color="1F4D78"/>
          <w:bottom w:val="single" w:sz="8" w:color="1F4D78"/>
          <w:right w:val="single" w:sz="8" w:color="1F4D78"/>
          <w:insideH w:val="single" w:sz="8" w:color="1F4D78"/>
          <w:insideV w:val="single" w:sz="8" w:color="1F4D7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7F4EA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Definición candidata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sz w:val="19"/>
              </w:rPr>
              <w:t>Aquello respecto de lo cual una interpretación, opción o respuesta cuenta como importante, preferible, congruente o digna de sostener para el sujeto.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Cuenta como evidencia positiva: </w:t>
      </w:r>
      <w:r>
        <w:rPr>
          <w:rFonts w:ascii="Calibri" w:hAnsi="Calibri" w:eastAsia="Calibri"/>
        </w:rPr>
        <w:t>Una razón de importancia, dirección o criterio que permite entender por qué una opción pesa más que otra, incluso contra la preferencia inmediata.</w:t>
      </w:r>
    </w:p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No basta para marcarlo: </w:t>
      </w:r>
      <w:r>
        <w:rPr>
          <w:rFonts w:ascii="Calibri" w:hAnsi="Calibri" w:eastAsia="Calibri"/>
        </w:rPr>
        <w:t>Gusto momentáneo, emoción agradable, deseo, objetivo instrumental, obediencia externa o uso de la palabra ‘importante’ sin criterio atribuible.</w:t>
      </w:r>
    </w:p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Frontera principal: </w:t>
      </w:r>
      <w:r>
        <w:rPr>
          <w:rFonts w:ascii="Calibri" w:hAnsi="Calibri" w:eastAsia="Calibri"/>
        </w:rPr>
        <w:t>V puede orientar P y Act, pero no vuelve verdadera una interpretación. Preferencia puede ser una señal de V, un sustituto imperfecto o simplemente un gusto: ésta es una decisión abierta.</w:t>
      </w:r>
    </w:p>
    <w:p>
      <w:pPr>
        <w:keepLines/>
        <w:spacing w:after="100"/>
        <w:ind w:left="259" w:right="259"/>
      </w:pPr>
      <w:r>
        <w:rPr>
          <w:rFonts w:ascii="Calibri" w:hAnsi="Calibri" w:eastAsia="Calibri"/>
          <w:b/>
          <w:color w:val="1F4D78"/>
          <w:sz w:val="17"/>
        </w:rPr>
        <w:t xml:space="preserve">Evidencia de fuente. </w:t>
      </w:r>
      <w:r>
        <w:rPr>
          <w:rFonts w:ascii="Calibri" w:hAnsi="Calibri" w:eastAsia="Calibri"/>
          <w:color w:val="5B6573"/>
          <w:sz w:val="17"/>
        </w:rPr>
        <w:t>El corpus usa preferencia, pasión y alineación para seleccionar cursos de acción (S1 pp. 2017–2022; S2 pp. 121 y 126; S3 spine 1). Sin embargo, no ofrece una separación estable entre valor, preferencia y emoción. S4 advierte que algo querido puede no coincidir con lo necesario (spine 19).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color="2E74B5"/>
          <w:left w:val="single" w:sz="6" w:color="2E74B5"/>
          <w:bottom w:val="single" w:sz="6" w:color="2E74B5"/>
          <w:right w:val="single" w:sz="6" w:color="2E74B5"/>
          <w:insideH w:val="single" w:sz="6" w:color="2E74B5"/>
          <w:insideV w:val="single" w:sz="6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DECISIÓN HUMANA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80"/>
            </w:pPr>
            <w:r>
              <w:rPr>
                <w:rFonts w:ascii="Calibri" w:hAnsi="Calibri" w:eastAsia="Calibri"/>
                <w:b/>
                <w:sz w:val="19"/>
              </w:rPr>
              <w:t>¿Apruebas V como criterio de importancia/dirección, distinto de gusto, deseo, emoción y objetivo instrumental?</w:t>
            </w:r>
          </w:p>
          <w:p>
            <w:pPr>
              <w:spacing w:after="80"/>
            </w:pPr>
            <w:r>
              <w:rPr>
                <w:rFonts w:ascii="Calibri" w:hAnsi="Calibri" w:eastAsia="Calibri"/>
                <w:b/>
                <w:color w:val="2E74B5"/>
                <w:sz w:val="19"/>
              </w:rPr>
              <w:t>[  ] APROBAR    [  ] REVISAR    [  ] RECHAZAR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5B6573"/>
                <w:sz w:val="17"/>
              </w:rPr>
              <w:t>Redacción alternativa / observaciones: ______________________________________________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S — situación funcional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8" w:color="1F4D78"/>
          <w:left w:val="single" w:sz="8" w:color="1F4D78"/>
          <w:bottom w:val="single" w:sz="8" w:color="1F4D78"/>
          <w:right w:val="single" w:sz="8" w:color="1F4D78"/>
          <w:insideH w:val="single" w:sz="8" w:color="1F4D78"/>
          <w:insideV w:val="single" w:sz="8" w:color="1F4D7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7F4EA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Definición candidata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sz w:val="19"/>
              </w:rPr>
              <w:t>La condición del entorno, relación o circunstancia que efectivamente modifica lo que el sujeto puede percibir, interpretar, sentir o hacer en el episodio.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Cuenta como evidencia positiva: </w:t>
      </w:r>
      <w:r>
        <w:rPr>
          <w:rFonts w:ascii="Calibri" w:hAnsi="Calibri" w:eastAsia="Calibri"/>
        </w:rPr>
        <w:t>Un elemento contextual que cambia posibilidades, restricciones, consecuencias o el significado operativo del episodio.</w:t>
      </w:r>
    </w:p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No basta para marcarlo: </w:t>
      </w:r>
      <w:r>
        <w:rPr>
          <w:rFonts w:ascii="Calibri" w:hAnsi="Calibri" w:eastAsia="Calibri"/>
        </w:rPr>
        <w:t>Lugar, fecha, clima, decoración o persona mencionada que no modifica la configuración experiencial relevante.</w:t>
      </w:r>
    </w:p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Frontera principal: </w:t>
      </w:r>
      <w:r>
        <w:rPr>
          <w:rFonts w:ascii="Calibri" w:hAnsi="Calibri" w:eastAsia="Calibri"/>
        </w:rPr>
        <w:t>S no es todo el contexto narrado. Eaf pertenece al sujeto; S describe condiciones operativas, aunque ambos puedan cambiar juntos.</w:t>
      </w:r>
    </w:p>
    <w:p>
      <w:pPr>
        <w:keepLines/>
        <w:spacing w:after="100"/>
        <w:ind w:left="259" w:right="259"/>
      </w:pPr>
      <w:r>
        <w:rPr>
          <w:rFonts w:ascii="Calibri" w:hAnsi="Calibri" w:eastAsia="Calibri"/>
          <w:b/>
          <w:color w:val="1F4D78"/>
          <w:sz w:val="17"/>
        </w:rPr>
        <w:t xml:space="preserve">Evidencia de fuente. </w:t>
      </w:r>
      <w:r>
        <w:rPr>
          <w:rFonts w:ascii="Calibri" w:hAnsi="Calibri" w:eastAsia="Calibri"/>
          <w:color w:val="5B6573"/>
          <w:sz w:val="17"/>
        </w:rPr>
        <w:t>S1 y S2 insisten en que una situación no determina por sí sola su significado (S1 pp. 266–267; S2 p. 39). S3 separa situación, interpretación y respuesta (spine 1). Esto apoya distinguir condición de significado, pero no autoriza declarar toda situación ‘neutral’ como axioma MOC.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color="2E74B5"/>
          <w:left w:val="single" w:sz="6" w:color="2E74B5"/>
          <w:bottom w:val="single" w:sz="6" w:color="2E74B5"/>
          <w:right w:val="single" w:sz="6" w:color="2E74B5"/>
          <w:insideH w:val="single" w:sz="6" w:color="2E74B5"/>
          <w:insideV w:val="single" w:sz="6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DECISIÓN HUMANA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80"/>
            </w:pPr>
            <w:r>
              <w:rPr>
                <w:rFonts w:ascii="Calibri" w:hAnsi="Calibri" w:eastAsia="Calibri"/>
                <w:b/>
                <w:sz w:val="19"/>
              </w:rPr>
              <w:t>¿Apruebas que S sea contexto funcional —el que cambia posibilidades o restricciones— y no todo detalle de escenario?</w:t>
            </w:r>
          </w:p>
          <w:p>
            <w:pPr>
              <w:spacing w:after="80"/>
            </w:pPr>
            <w:r>
              <w:rPr>
                <w:rFonts w:ascii="Calibri" w:hAnsi="Calibri" w:eastAsia="Calibri"/>
                <w:b/>
                <w:color w:val="2E74B5"/>
                <w:sz w:val="19"/>
              </w:rPr>
              <w:t>[  ] APROBAR    [  ] REVISAR    [  ] RECHAZAR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5B6573"/>
                <w:sz w:val="17"/>
              </w:rPr>
              <w:t>Redacción alternativa / observaciones: ______________________________________________</w:t>
            </w:r>
          </w:p>
        </w:tc>
      </w:tr>
    </w:tbl>
    <w:p>
      <w:pPr>
        <w:spacing w:after="0"/>
      </w:pPr>
    </w:p>
    <w:p>
      <w:pPr>
        <w:pStyle w:val="Heading1"/>
      </w:pPr>
      <w:r>
        <w:t>4. Las siete fronteras difíciles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C8D0D9"/>
          <w:left w:val="single" w:sz="4" w:color="C8D0D9"/>
          <w:bottom w:val="single" w:sz="4" w:color="C8D0D9"/>
          <w:right w:val="single" w:sz="4" w:color="C8D0D9"/>
          <w:insideH w:val="single" w:sz="4" w:color="C8D0D9"/>
          <w:insideV w:val="single" w:sz="4" w:color="C8D0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  <w:cantSplit w:val="true"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  <w:sz w:val="16"/>
              </w:rPr>
              <w:t>Frontera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  <w:sz w:val="16"/>
              </w:rPr>
              <w:t>Regla candidata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  <w:sz w:val="16"/>
              </w:rPr>
              <w:t>Prueba negativa</w:t>
            </w:r>
          </w:p>
        </w:tc>
        <w:tc>
          <w:tcPr>
            <w:tcW w:type="dxa" w:w="2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  <w:sz w:val="16"/>
              </w:rPr>
              <w:t>Decisión pendiente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P / V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P dice qué significa; V dice por qué importa o hacia dónde orienta.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‘Entiendo que perderé tiempo’ (P) no implica ‘proteger mi tiempo importa’ (V).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¿V puede estar implícito en toda P o debe observarse por separado?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Eaf / 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Eaf es vivencia del sujeto; S es condición funcional del episodio.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‘La sala estaba tensa’ no prueba que el sujeto sintiera tensión.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¿Qué grado de atribución basta para Eaf implícito?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Eaf / V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Sentir agrado o miedo no equivale a sostener un criterio.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Alguien puede sentir alivio al evitar algo que considera importante afrontar.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¿Cuándo una emoción cuenta sólo como pista de V?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Act / conducta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Act es pauta experiencial de respuesta; conducta es expresión observable.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Cruzar los brazos puede tener múltiples sentidos o ninguno reconstruible.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¿Qué evidencia interna mínima convierte conducta en Act?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Act / elección-intención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Querer, decidir, intentar y ejecutar son estados diferentes.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‘Quiero llamar’ no equivale a decidir ni a llamar.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¿Qué estados pertenecen a Act y cuáles son antecedentes?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V / preferencia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V es criterio de importancia; preferencia puede ser local y cambiante.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Preferir descansar puede chocar con cuidar a alguien, que pesa más.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¿La preferencia es evidencia, subtipo o vecino negativo de V?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S / contexto incidental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S afecta posibilidades o restricciones; el decorado incidental no.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‘Era martes’ no cuenta salvo que el martes cambie opciones o consecuencias.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¿Qué prueba funcional mínima exige S?</w:t>
            </w:r>
          </w:p>
        </w:tc>
      </w:tr>
    </w:tbl>
    <w:p>
      <w:pPr>
        <w:spacing w:after="0" w:line="20" w:lineRule="exact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color="2E74B5"/>
          <w:left w:val="single" w:sz="6" w:color="2E74B5"/>
          <w:bottom w:val="single" w:sz="6" w:color="2E74B5"/>
          <w:right w:val="single" w:sz="6" w:color="2E74B5"/>
          <w:insideH w:val="single" w:sz="6" w:color="2E74B5"/>
          <w:insideV w:val="single" w:sz="6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DECISIÓN HUMANA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80"/>
            </w:pPr>
            <w:r>
              <w:rPr>
                <w:rFonts w:ascii="Calibri" w:hAnsi="Calibri" w:eastAsia="Calibri"/>
                <w:b/>
                <w:sz w:val="19"/>
              </w:rPr>
              <w:t>¿Apruebas las siete reglas como fronteras de trabajo? Si no, indica cuál debe cambiar.</w:t>
            </w:r>
          </w:p>
          <w:p>
            <w:pPr>
              <w:spacing w:after="80"/>
            </w:pPr>
            <w:r>
              <w:rPr>
                <w:rFonts w:ascii="Calibri" w:hAnsi="Calibri" w:eastAsia="Calibri"/>
                <w:b/>
                <w:color w:val="2E74B5"/>
                <w:sz w:val="19"/>
              </w:rPr>
              <w:t>[  ] APROBAR    [  ] REVISAR    [  ] RECHAZAR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5B6573"/>
                <w:sz w:val="17"/>
              </w:rPr>
              <w:t>Redacción alternativa / observaciones: ______________________________________________</w:t>
            </w:r>
          </w:p>
        </w:tc>
      </w:tr>
    </w:tbl>
    <w:p>
      <w:pPr>
        <w:spacing w:after="0"/>
      </w:pPr>
    </w:p>
    <w:p>
      <w:pPr>
        <w:pStyle w:val="Heading1"/>
      </w:pPr>
      <w:r>
        <w:t>5. Las diez relaciones: qué sobrevive al contraste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C8D0D9"/>
          <w:left w:val="single" w:sz="4" w:color="C8D0D9"/>
          <w:bottom w:val="single" w:sz="4" w:color="C8D0D9"/>
          <w:right w:val="single" w:sz="4" w:color="C8D0D9"/>
          <w:insideH w:val="single" w:sz="4" w:color="C8D0D9"/>
          <w:insideV w:val="single" w:sz="4" w:color="C8D0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  <w:cantSplit w:val="true"/>
        </w:trPr>
        <w:tc>
          <w:tcPr>
            <w:tcW w:type="dxa" w:w="1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  <w:sz w:val="16"/>
              </w:rPr>
              <w:t>Par</w:t>
            </w:r>
          </w:p>
        </w:tc>
        <w:tc>
          <w:tcPr>
            <w:tcW w:type="dxa" w:w="3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  <w:sz w:val="16"/>
              </w:rPr>
              <w:t>Relación candidata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  <w:sz w:val="16"/>
              </w:rPr>
              <w:t>Estatus</w:t>
            </w:r>
          </w:p>
        </w:tc>
        <w:tc>
          <w:tcPr>
            <w:tcW w:type="dxa" w:w="2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  <w:sz w:val="16"/>
              </w:rPr>
              <w:t>Falsador o cautela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P → Eaf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La interpretación puede organizar la respuesta afectiva.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DIRECTA EN EL CORPUS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No implica determinismo ni que toda P produzca Eaf observable.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P ↔ Act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P puede orientar Act; Act y sus consecuencias pueden reforzar o desafiar P.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DIRECTA EN EL CORPUS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La dirección inversa exige tiempo y evidencia.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P ↔ S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P da significado a S; S aporta condiciones y retroalimentación.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PARCIAL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No adoptar la tesis metafísica de que S es siempre neutral.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V → P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V podría aportar el criterio bajo el cual P parece válida o relevante.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HIPÓTESIS MOC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El corpus no separa con limpieza V de certeza, preferencia o alineación.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V → Act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V puede priorizar respuestas entre alternativas.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PARCIAL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Preferencia y emoción no bastan para inferir V.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V ↔ S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V selecciona qué rasgos de S importan; las consecuencias de S pueden aclarar V.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HIPÓTESIS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Requiere episodios temporales, no una frase aislada.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Eaf → Act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Eaf puede impulsar, inhibir o modular la respuesta.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PARCIAL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Act puede ocurrir sin emoción visible o contra ella.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Eaf ↔ V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Eaf puede señalar concordancia o conflicto con V.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DÉBIL / CON CONTRAEJEMPLO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Una sensación positiva puede acompañar una pauta problemática.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Eaf ↔ S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S ofrece condiciones; Eaf responde a la configuración interpretada.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MEDIADA POR P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No inferir emoción desde la situación sola.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Act ↔ S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Act opera dentro de posibilidades/restricciones de S y puede modificarlas.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DIRECTA COMO MODELO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No toda modificación externa prueba cambio experiencial.</w:t>
            </w:r>
          </w:p>
        </w:tc>
      </w:tr>
    </w:tbl>
    <w:p>
      <w:pPr>
        <w:spacing w:after="0" w:line="20" w:lineRule="exact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8" w:color="1F4D78"/>
          <w:left w:val="single" w:sz="8" w:color="1F4D78"/>
          <w:bottom w:val="single" w:sz="8" w:color="1F4D78"/>
          <w:right w:val="single" w:sz="8" w:color="1F4D78"/>
          <w:insideH w:val="single" w:sz="8" w:color="1F4D78"/>
          <w:insideV w:val="single" w:sz="8" w:color="1F4D7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7F4EA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Resultado estructural provisional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sz w:val="19"/>
              </w:rPr>
              <w:t>Las relaciones son dirigidas, tipadas, temporales y de fuerza desigual. Eso favorece un sistema relacional dinámico como representación mínima provisional. No justifica todavía K5, pentágono, 4-símplex ni ninguna geometría concreta.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color="2E74B5"/>
          <w:left w:val="single" w:sz="6" w:color="2E74B5"/>
          <w:bottom w:val="single" w:sz="6" w:color="2E74B5"/>
          <w:right w:val="single" w:sz="6" w:color="2E74B5"/>
          <w:insideH w:val="single" w:sz="6" w:color="2E74B5"/>
          <w:insideV w:val="single" w:sz="6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DECISIÓN HUMANA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80"/>
            </w:pPr>
            <w:r>
              <w:rPr>
                <w:rFonts w:ascii="Calibri" w:hAnsi="Calibri" w:eastAsia="Calibri"/>
                <w:b/>
                <w:sz w:val="19"/>
              </w:rPr>
              <w:t>¿Qué relaciones aceptas como candidatas MOC y cuáles deben quedar sólo como hipótesis externas?</w:t>
            </w:r>
          </w:p>
          <w:p>
            <w:pPr>
              <w:spacing w:after="80"/>
            </w:pPr>
            <w:r>
              <w:rPr>
                <w:rFonts w:ascii="Calibri" w:hAnsi="Calibri" w:eastAsia="Calibri"/>
                <w:b/>
                <w:color w:val="2E74B5"/>
                <w:sz w:val="19"/>
              </w:rPr>
              <w:t>[  ] APROBAR    [  ] REVISAR    [  ] RECHAZAR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5B6573"/>
                <w:sz w:val="17"/>
              </w:rPr>
              <w:t>Redacción alternativa / observaciones: 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Reglas de atribución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C8D0D9"/>
          <w:left w:val="single" w:sz="4" w:color="C8D0D9"/>
          <w:bottom w:val="single" w:sz="4" w:color="C8D0D9"/>
          <w:right w:val="single" w:sz="4" w:color="C8D0D9"/>
          <w:insideH w:val="single" w:sz="4" w:color="C8D0D9"/>
          <w:insideV w:val="single" w:sz="4" w:color="C8D0D9"/>
        </w:tblBorders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Clase</w:t>
            </w:r>
          </w:p>
        </w:tc>
        <w:tc>
          <w:tcPr>
            <w:tcW w:type="dxa" w:w="4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Cuándo usarla</w:t>
            </w:r>
          </w:p>
        </w:tc>
        <w:tc>
          <w:tcPr>
            <w:tcW w:type="dxa" w:w="3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Qué no autoriza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SUJETO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El protagonista declara, experimenta o muestra de forma inequívoca el contenido.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No autoriza atribuirle lo que el narrador supone.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CITA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El texto reproduce palabras o estados de otra persona.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No se transfiere al sujeto principal.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HIPÓTESIS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El narrador o analista propone una explicación no confirmada.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No cuenta como presencia observada.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CONTEXTO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Es información del entorno o de la escena.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No se convierte automáticamente en S funcional ni en estado interno.</w:t>
            </w:r>
          </w:p>
        </w:tc>
      </w:tr>
    </w:tbl>
    <w:p>
      <w:pPr>
        <w:spacing w:after="0" w:line="20" w:lineRule="exact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8" w:color="1F4D78"/>
          <w:left w:val="single" w:sz="8" w:color="1F4D78"/>
          <w:bottom w:val="single" w:sz="8" w:color="1F4D78"/>
          <w:right w:val="single" w:sz="8" w:color="1F4D78"/>
          <w:insideH w:val="single" w:sz="8" w:color="1F4D78"/>
          <w:insideV w:val="single" w:sz="8" w:color="1F4D7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Prueba mínima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sz w:val="19"/>
              </w:rPr>
              <w:t>Antes de marcar un componente, complete la frase: ‘Esto pertenece al sujeto porque…’. Si la frase sólo puede completarse con una suposición, marque DUDOSO o NO SÉ.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color="2E74B5"/>
          <w:left w:val="single" w:sz="6" w:color="2E74B5"/>
          <w:bottom w:val="single" w:sz="6" w:color="2E74B5"/>
          <w:right w:val="single" w:sz="6" w:color="2E74B5"/>
          <w:insideH w:val="single" w:sz="6" w:color="2E74B5"/>
          <w:insideV w:val="single" w:sz="6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DECISIÓN HUMANA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80"/>
            </w:pPr>
            <w:r>
              <w:rPr>
                <w:rFonts w:ascii="Calibri" w:hAnsi="Calibri" w:eastAsia="Calibri"/>
                <w:b/>
                <w:sz w:val="19"/>
              </w:rPr>
              <w:t>¿Apruebas estas cuatro clases y la regla de no transferir estados entre voces?</w:t>
            </w:r>
          </w:p>
          <w:p>
            <w:pPr>
              <w:spacing w:after="80"/>
            </w:pPr>
            <w:r>
              <w:rPr>
                <w:rFonts w:ascii="Calibri" w:hAnsi="Calibri" w:eastAsia="Calibri"/>
                <w:b/>
                <w:color w:val="2E74B5"/>
                <w:sz w:val="19"/>
              </w:rPr>
              <w:t>[  ] APROBAR    [  ] REVISAR    [  ] RECHAZAR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5B6573"/>
                <w:sz w:val="17"/>
              </w:rPr>
              <w:t>Redacción alternativa / observaciones: ______________________________________________</w:t>
            </w:r>
          </w:p>
        </w:tc>
      </w:tr>
    </w:tbl>
    <w:p>
      <w:pPr>
        <w:spacing w:after="0"/>
      </w:pPr>
    </w:p>
    <w:p>
      <w:pPr>
        <w:pStyle w:val="Heading1"/>
      </w:pPr>
      <w:r>
        <w:t>7. Presencia, estabilidad y cambio</w:t>
      </w:r>
    </w:p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Presencia: </w:t>
      </w:r>
      <w:r>
        <w:rPr>
          <w:rFonts w:ascii="Calibri" w:hAnsi="Calibri" w:eastAsia="Calibri"/>
        </w:rPr>
        <w:t>responde si el componente puede observarse en un fragmento. No responde si cambió.</w:t>
      </w:r>
    </w:p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Estabilidad: </w:t>
      </w:r>
      <w:r>
        <w:rPr>
          <w:rFonts w:ascii="Calibri" w:hAnsi="Calibri" w:eastAsia="Calibri"/>
        </w:rPr>
        <w:t>requiere al menos dos momentos o condiciones comparables y evidencia de continuidad.</w:t>
      </w:r>
    </w:p>
    <w:p>
      <w:pPr>
        <w:spacing w:after="100"/>
      </w:pPr>
      <w:r>
        <w:rPr>
          <w:rFonts w:ascii="Calibri" w:hAnsi="Calibri" w:eastAsia="Calibri"/>
          <w:b/>
          <w:color w:val="1F4D78"/>
        </w:rPr>
        <w:t xml:space="preserve">Cambio: </w:t>
      </w:r>
      <w:r>
        <w:rPr>
          <w:rFonts w:ascii="Calibri" w:hAnsi="Calibri" w:eastAsia="Calibri"/>
        </w:rPr>
        <w:t>requiere una diferencia atribuible entre momentos; no basta que el texto use verbos de cambio.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C8D0D9"/>
          <w:left w:val="single" w:sz="4" w:color="C8D0D9"/>
          <w:bottom w:val="single" w:sz="4" w:color="C8D0D9"/>
          <w:right w:val="single" w:sz="4" w:color="C8D0D9"/>
          <w:insideH w:val="single" w:sz="4" w:color="C8D0D9"/>
          <w:insideV w:val="single" w:sz="4" w:color="C8D0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  <w:cantSplit w:val="true"/>
        </w:trPr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Caso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Presencia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Cambio</w:t>
            </w:r>
          </w:p>
        </w:tc>
        <w:tc>
          <w:tcPr>
            <w:tcW w:type="dxa" w:w="2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Razón</w:t>
            </w:r>
          </w:p>
        </w:tc>
      </w:tr>
      <w:tr>
        <w:trPr>
          <w:cantSplit w:val="true"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‘Sigo pensando que pedir ayuda es molestar.’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P: SÍ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P: SE MANTUVO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La interpretación está presente y se declara continuidad.</w:t>
            </w:r>
          </w:p>
        </w:tc>
      </w:tr>
      <w:tr>
        <w:trPr>
          <w:cantSplit w:val="true"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‘Ayer no quería; hoy decidí llamar.’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Act: SÍ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Act: CAMBIÓ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Hay dos momentos y una transición de respuesta.</w:t>
            </w:r>
          </w:p>
        </w:tc>
      </w:tr>
      <w:tr>
        <w:trPr>
          <w:cantSplit w:val="true"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‘Me sentí inquieto.’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Eaf: SÍ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NO SE PUEDE COMPARAR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Sólo hay un momento.</w:t>
            </w:r>
          </w:p>
        </w:tc>
      </w:tr>
      <w:tr>
        <w:trPr>
          <w:cantSplit w:val="true"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‘No menciona cómo se sintió.’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Eaf: NO SÉ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NO SE PUEDE COMPARAR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Falta información; no es evidencia de ausencia.</w:t>
            </w:r>
          </w:p>
        </w:tc>
      </w:tr>
    </w:tbl>
    <w:p>
      <w:pPr>
        <w:spacing w:after="0" w:line="20" w:lineRule="exact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color="2E74B5"/>
          <w:left w:val="single" w:sz="6" w:color="2E74B5"/>
          <w:bottom w:val="single" w:sz="6" w:color="2E74B5"/>
          <w:right w:val="single" w:sz="6" w:color="2E74B5"/>
          <w:insideH w:val="single" w:sz="6" w:color="2E74B5"/>
          <w:insideV w:val="single" w:sz="6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DECISIÓN HUMANA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80"/>
            </w:pPr>
            <w:r>
              <w:rPr>
                <w:rFonts w:ascii="Calibri" w:hAnsi="Calibri" w:eastAsia="Calibri"/>
                <w:b/>
                <w:sz w:val="19"/>
              </w:rPr>
              <w:t>¿Apruebas separar siempre la pregunta ‘aparece’ de la pregunta ‘cambió’?</w:t>
            </w:r>
          </w:p>
          <w:p>
            <w:pPr>
              <w:spacing w:after="80"/>
            </w:pPr>
            <w:r>
              <w:rPr>
                <w:rFonts w:ascii="Calibri" w:hAnsi="Calibri" w:eastAsia="Calibri"/>
                <w:b/>
                <w:color w:val="2E74B5"/>
                <w:sz w:val="19"/>
              </w:rPr>
              <w:t>[  ] APROBAR    [  ] REVISAR    [  ] RECHAZAR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5B6573"/>
                <w:sz w:val="17"/>
              </w:rPr>
              <w:t>Redacción alternativa / observaciones: ______________________________________________</w:t>
            </w:r>
          </w:p>
        </w:tc>
      </w:tr>
    </w:tbl>
    <w:p>
      <w:pPr>
        <w:spacing w:after="0"/>
      </w:pPr>
    </w:p>
    <w:p>
      <w:pPr>
        <w:pStyle w:val="Heading1"/>
      </w:pPr>
      <w:r>
        <w:t>8. Árbol de decisión en lenguaje corriente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C8D0D9"/>
          <w:left w:val="single" w:sz="4" w:color="C8D0D9"/>
          <w:bottom w:val="single" w:sz="4" w:color="C8D0D9"/>
          <w:right w:val="single" w:sz="4" w:color="C8D0D9"/>
          <w:insideH w:val="single" w:sz="4" w:color="C8D0D9"/>
          <w:insideV w:val="single" w:sz="4" w:color="C8D0D9"/>
        </w:tblBorders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Paso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Pregunta</w:t>
            </w:r>
          </w:p>
        </w:tc>
        <w:tc>
          <w:tcPr>
            <w:tcW w:type="dxa" w:w="5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Regla</w:t>
            </w:r>
          </w:p>
        </w:tc>
      </w:tr>
      <w:tr>
        <w:trPr>
          <w:cantSplit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¿De quién es la evidencia?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Si no pertenece al sujeto, registre CITA, HIPÓTESIS o CONTEXTO y no transfiera el estado.</w:t>
            </w:r>
          </w:p>
        </w:tc>
      </w:tr>
      <w:tr>
        <w:trPr>
          <w:cantSplit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¿Hay evidencia del componente?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SÍ si cumple su criterio; NO sólo con evidencia de ausencia; DUDOSO si hay dos lecturas; NO SÉ si falta información.</w:t>
            </w:r>
          </w:p>
        </w:tc>
      </w:tr>
      <w:tr>
        <w:trPr>
          <w:cantSplit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¿La evidencia cruza una frontera?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Compare con el vecino negativo: P/V, Eaf/S, Eaf/V, Act/conducta, Act/intención, V/preferencia o S/contexto incidental.</w:t>
            </w:r>
          </w:p>
        </w:tc>
      </w:tr>
      <w:tr>
        <w:trPr>
          <w:cantSplit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4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¿Puede compararse en el tiempo?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Si hay dos momentos, marque CAMBIÓ, SE MANTUVO o NO SÉ. Con un solo momento: NO SE PUEDE COMPARAR.</w:t>
            </w:r>
          </w:p>
        </w:tc>
      </w:tr>
      <w:tr>
        <w:trPr>
          <w:cantSplit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¿Qué fragmento lo sostiene?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Guarde el fragmento exacto y una justificación breve; no use palabras gatillo como prueba suficiente.</w:t>
            </w:r>
          </w:p>
        </w:tc>
      </w:tr>
    </w:tbl>
    <w:p>
      <w:pPr>
        <w:spacing w:after="0" w:line="20" w:lineRule="exact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color="2E74B5"/>
          <w:left w:val="single" w:sz="6" w:color="2E74B5"/>
          <w:bottom w:val="single" w:sz="6" w:color="2E74B5"/>
          <w:right w:val="single" w:sz="6" w:color="2E74B5"/>
          <w:insideH w:val="single" w:sz="6" w:color="2E74B5"/>
          <w:insideV w:val="single" w:sz="6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DECISIÓN HUMANA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80"/>
            </w:pPr>
            <w:r>
              <w:rPr>
                <w:rFonts w:ascii="Calibri" w:hAnsi="Calibri" w:eastAsia="Calibri"/>
                <w:b/>
                <w:sz w:val="19"/>
              </w:rPr>
              <w:t>¿Apruebas la lógica del árbol? La unión con etiquetas técnicas antiguas queda expresamente sin aprobar.</w:t>
            </w:r>
          </w:p>
          <w:p>
            <w:pPr>
              <w:spacing w:after="80"/>
            </w:pPr>
            <w:r>
              <w:rPr>
                <w:rFonts w:ascii="Calibri" w:hAnsi="Calibri" w:eastAsia="Calibri"/>
                <w:b/>
                <w:color w:val="2E74B5"/>
                <w:sz w:val="19"/>
              </w:rPr>
              <w:t>[  ] APROBAR    [  ] REVISAR    [  ] RECHAZAR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5B6573"/>
                <w:sz w:val="17"/>
              </w:rPr>
              <w:t>Redacción alternativa / observaciones: 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Contraejemplos que el manual debe resistir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C8D0D9"/>
          <w:left w:val="single" w:sz="4" w:color="C8D0D9"/>
          <w:bottom w:val="single" w:sz="4" w:color="C8D0D9"/>
          <w:right w:val="single" w:sz="4" w:color="C8D0D9"/>
          <w:insideH w:val="single" w:sz="4" w:color="C8D0D9"/>
          <w:insideV w:val="single" w:sz="4" w:color="C8D0D9"/>
        </w:tblBorders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Tipo</w:t>
            </w:r>
          </w:p>
        </w:tc>
        <w:tc>
          <w:tcPr>
            <w:tcW w:type="dxa" w:w="4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Fragmento</w:t>
            </w:r>
          </w:p>
        </w:tc>
        <w:tc>
          <w:tcPr>
            <w:tcW w:type="dxa" w:w="3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Por qué no cuenta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P-like, no P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‘La reunión duró dos horas.’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Describe; no interpreta.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Eaf-like, no Eaf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‘La noticia era alarmante.’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Evalúa la noticia; no atribuye afecto al sujeto.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Act-like, no Act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‘Movió la pierna durante la charla.’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Conducta sin pauta experiencial identificable.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V-like, no V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‘Prefiero café.’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Gusto local sin criterio de importancia demostrado.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S-like, no 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‘Era martes y la pared era azul.’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Contexto incidental salvo efecto funcional.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Eaf no revela V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‘Sintió alivio al evitar la conversación que consideraba importante.’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El afecto y el criterio apuntan en direcciones distintas.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Intención no es ejecución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‘Quería disculparse, pero no decidió hacerlo.’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No colapsar deseo, decisión y conducta.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Ausencia no es desconocimiento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‘El texto no dice cómo se sintió.’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Falta de evidencia no prueba ausencia de Eaf.</w:t>
            </w:r>
          </w:p>
        </w:tc>
      </w:tr>
    </w:tbl>
    <w:p>
      <w:pPr>
        <w:spacing w:after="0" w:line="20" w:lineRule="exact"/>
      </w:pPr>
    </w:p>
    <w:p>
      <w:pPr>
        <w:pStyle w:val="Heading1"/>
      </w:pPr>
      <w:r>
        <w:t>10. Matriz de decisión humana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C8D0D9"/>
          <w:left w:val="single" w:sz="4" w:color="C8D0D9"/>
          <w:bottom w:val="single" w:sz="4" w:color="C8D0D9"/>
          <w:right w:val="single" w:sz="4" w:color="C8D0D9"/>
          <w:insideH w:val="single" w:sz="4" w:color="C8D0D9"/>
          <w:insideV w:val="single" w:sz="4" w:color="C8D0D9"/>
        </w:tblBorders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Materia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Decisión</w:t>
            </w:r>
          </w:p>
        </w:tc>
        <w:tc>
          <w:tcPr>
            <w:tcW w:type="dxa" w:w="3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  <w:sz w:val="17"/>
              </w:rPr>
              <w:t>Observaciones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Definición de P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[ ] Aprobar  [ ] Revisar  [ ] Rechazar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Definición de Eaf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[ ] Aprobar  [ ] Revisar  [ ] Rechazar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Definición de Act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[ ] Aprobar  [ ] Revisar  [ ] Rechazar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Definición de V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[ ] Aprobar  [ ] Revisar  [ ] Rechazar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Definición de 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[ ] Aprobar  [ ] Revisar  [ ] Rechazar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Siete fronteras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[ ] Aprobar  [ ] Revisar  [ ] Rechazar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Diez relaciones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[ ] Aprobar  [ ] Revisar  [ ] Rechazar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Reglas de atribución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[ ] Aprobar  [ ] Revisar  [ ] Rechazar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Presencia vs. cambio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[ ] Aprobar  [ ] Revisar  [ ] Rechazar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Árbol de decisión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  <w:t>[ ] Aprobar  [ ] Revisar  [ ] Rechazar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7"/>
              </w:rPr>
            </w:r>
          </w:p>
        </w:tc>
      </w:tr>
    </w:tbl>
    <w:p>
      <w:pPr>
        <w:spacing w:after="0" w:line="20" w:lineRule="exact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8" w:color="A66A00"/>
          <w:left w:val="single" w:sz="8" w:color="A66A00"/>
          <w:bottom w:val="single" w:sz="8" w:color="A66A00"/>
          <w:right w:val="single" w:sz="8" w:color="A66A00"/>
          <w:insideH w:val="single" w:sz="8" w:color="A66A00"/>
          <w:insideV w:val="single" w:sz="8" w:color="A66A0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3CD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A66A00"/>
                <w:sz w:val="21"/>
              </w:rPr>
              <w:t>Cierre permitido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sz w:val="19"/>
              </w:rPr>
              <w:t>‘Paquete revisado’ no significa ‘G0 autorizado’. Si el manual queda aprobado, la autorización de G0 debe registrarse en una decisión posterior y separada.</w:t>
            </w:r>
          </w:p>
        </w:tc>
      </w:tr>
    </w:tbl>
    <w:p>
      <w:pPr>
        <w:spacing w:after="0"/>
      </w:pPr>
    </w:p>
    <w:p>
      <w:pPr>
        <w:pStyle w:val="Heading1"/>
      </w:pPr>
      <w:r>
        <w:t>11. Evidencia y trazabilidad de las fuentes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C8D0D9"/>
          <w:left w:val="single" w:sz="4" w:color="C8D0D9"/>
          <w:bottom w:val="single" w:sz="4" w:color="C8D0D9"/>
          <w:right w:val="single" w:sz="4" w:color="C8D0D9"/>
          <w:insideH w:val="single" w:sz="4" w:color="C8D0D9"/>
          <w:insideV w:val="single" w:sz="4" w:color="C8D0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  <w:cantSplit w:val="true"/>
        </w:trPr>
        <w:tc>
          <w:tcPr>
            <w:tcW w:type="dxa" w:w="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  <w:sz w:val="14"/>
              </w:rPr>
              <w:t>ID</w:t>
            </w:r>
          </w:p>
        </w:tc>
        <w:tc>
          <w:tcPr>
            <w:tcW w:type="dxa" w:w="4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  <w:sz w:val="14"/>
              </w:rPr>
              <w:t>Fuente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  <w:sz w:val="14"/>
              </w:rPr>
              <w:t>Formato</w:t>
            </w:r>
          </w:p>
        </w:tc>
        <w:tc>
          <w:tcPr>
            <w:tcW w:type="dxa" w:w="30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  <w:sz w:val="14"/>
              </w:rPr>
              <w:t>SHA-256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4"/>
              </w:rPr>
              <w:t>S1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4"/>
              </w:rPr>
              <w:t>Bashar Channeled by Darryl Anka — Complete Transcripts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4"/>
              </w:rPr>
              <w:t>PDF, 3151 páginas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4"/>
              </w:rPr>
              <w:t>987E37391F0E144A25663A64A45B5B64BFF2E91679A6CBB545279114D9F5D0DD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4"/>
              </w:rPr>
              <w:t>S2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4"/>
              </w:rPr>
              <w:t>Blueprint for Change: A Message From Our Future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4"/>
              </w:rPr>
              <w:t>PDF, 241 páginas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4"/>
              </w:rPr>
              <w:t>2FC7FA8653FFABA5EF1A81397CF0D5F46116947AE1BC2421BC0F358C983CFC61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4"/>
              </w:rPr>
              <w:t>S3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4"/>
              </w:rPr>
              <w:t>Bashar Jan.–Dec. 2025 Transcripts: Coming Home To The Light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4"/>
              </w:rPr>
              <w:t>EPUB, 32 unidades de lectura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4"/>
              </w:rPr>
              <w:t>89C19E8B695C56E24DD9659F33D34495AE3B48CED953D0976BE5C1836B07DA4E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4"/>
              </w:rPr>
              <w:t>S4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4"/>
              </w:rPr>
              <w:t>The Masters of Limitation: An ET’s Observations of Earth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4"/>
              </w:rPr>
              <w:t>EPUB, 24 unidades de lectura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4"/>
              </w:rPr>
              <w:t>18CECA52CB45A4E4A5D0E2FECFE30AD7198589F3294DC70FBFEB3E3F5F60C350</w:t>
            </w:r>
          </w:p>
        </w:tc>
      </w:tr>
    </w:tbl>
    <w:p>
      <w:pPr>
        <w:spacing w:after="0" w:line="20" w:lineRule="exact"/>
      </w:pPr>
    </w:p>
    <w:p>
      <w:pPr>
        <w:pStyle w:val="Heading2"/>
      </w:pPr>
      <w:r>
        <w:t>Localizadores utilizados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C8D0D9"/>
          <w:left w:val="single" w:sz="4" w:color="C8D0D9"/>
          <w:bottom w:val="single" w:sz="4" w:color="C8D0D9"/>
          <w:right w:val="single" w:sz="4" w:color="C8D0D9"/>
          <w:insideH w:val="single" w:sz="4" w:color="C8D0D9"/>
          <w:insideV w:val="single" w:sz="4" w:color="C8D0D9"/>
        </w:tblBorders>
      </w:tblPr>
      <w:tblGrid>
        <w:gridCol w:w="3120"/>
        <w:gridCol w:w="3120"/>
        <w:gridCol w:w="3120"/>
      </w:tblGrid>
      <w:tr>
        <w:trPr>
          <w:tblHeader w:val="true"/>
          <w:cantSplit w:val="true"/>
        </w:trPr>
        <w:tc>
          <w:tcPr>
            <w:tcW w:type="dxa" w:w="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  <w:sz w:val="16"/>
              </w:rPr>
              <w:t>Fuente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  <w:sz w:val="16"/>
              </w:rPr>
              <w:t>Localizador</w:t>
            </w:r>
          </w:p>
        </w:tc>
        <w:tc>
          <w:tcPr>
            <w:tcW w:type="dxa" w:w="5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  <w:sz w:val="16"/>
              </w:rPr>
              <w:t>Uso analítico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S1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pp. 266–267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Situación y significado atribuido.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S1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p. 334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Secuencia creencia, percepción, interpretación, emoción, pensamiento y acción.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S1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p. 1754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Definición, motivación y elección.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S1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pp. 2017–2022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Preferencia, juicio y actuación.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S1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pp. 2697–2698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Creencia, emoción y pensamiento; cambio conjunto o ausencia de emoción visible.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S2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p. 39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Situación y significado.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S2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pp. 121, 126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Excitación/pasión como señal para actuar.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S2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p. 135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Sentimientos presentados como secundarios a creencias.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S3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spine 1, January 2025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Definición, preferencia, alineación y acción disponible.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S3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spine 3, No More Secrets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Conducta, consecuencias emocionales, situación y cambio.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S4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spine 15, cap. 5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Definición/creencia, emoción, pensamiento y conducta; contraejemplo afectivo.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S4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spine 18, cap. 6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Definición como plano, creencia como certeza; rastreo retrospectivo.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S4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spine 19, cap. 7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6"/>
              </w:rPr>
              <w:t>Preferencia, necesidad, imaginación y respuesta.</w:t>
            </w:r>
          </w:p>
        </w:tc>
      </w:tr>
    </w:tbl>
    <w:p>
      <w:pPr>
        <w:spacing w:after="0" w:line="20" w:lineRule="exact"/>
      </w:pPr>
    </w:p>
    <w:p>
      <w:pPr>
        <w:pStyle w:val="Heading2"/>
      </w:pPr>
      <w:r>
        <w:t>Límites de esta revisión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  <w:sz w:val="21"/>
        </w:rPr>
        <w:t>La búsqueda fue temática, no una edición crítica exhaustiva de todas las variantes textuales.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  <w:sz w:val="21"/>
        </w:rPr>
        <w:t>La consistencia interna del corpus no demuestra validez psicológica, causal ni científica.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  <w:sz w:val="21"/>
        </w:rPr>
        <w:t>Las relaciones candidatas deben sobrevivir ejemplos negativos y revisión humana antes de cualquier piloto.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  <w:sz w:val="21"/>
        </w:rPr>
        <w:t>La representación computacional deberá conservar dirección, tipo, tiempo, incertidumbre y procedencia; la geometría queda abierta.</w:t>
      </w:r>
    </w:p>
    <w:p>
      <w:pPr>
        <w:pStyle w:val="Heading1"/>
      </w:pPr>
      <w:r>
        <w:t>12. Estatuto final de este artefacto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C8D0D9"/>
          <w:left w:val="single" w:sz="4" w:color="C8D0D9"/>
          <w:bottom w:val="single" w:sz="4" w:color="C8D0D9"/>
          <w:right w:val="single" w:sz="4" w:color="C8D0D9"/>
          <w:insideH w:val="single" w:sz="4" w:color="C8D0D9"/>
          <w:insideV w:val="single" w:sz="4" w:color="C8D0D9"/>
        </w:tblBorders>
      </w:tblPr>
      <w:tblGrid>
        <w:gridCol w:w="4680"/>
        <w:gridCol w:w="4680"/>
      </w:tblGrid>
      <w:tr>
        <w:trPr>
          <w:tblHeader w:val="true"/>
          <w:cantSplit w:val="true"/>
        </w:trPr>
        <w:tc>
          <w:tcPr>
            <w:tcW w:type="dxa" w:w="4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Campo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Estado</w:t>
            </w:r>
          </w:p>
        </w:tc>
      </w:tr>
      <w:tr>
        <w:trPr>
          <w:cantSplit w:val="true"/>
        </w:trPr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8"/>
              </w:rPr>
              <w:t>MATERIALIZED_AS_REVIEW_ARTIFACT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8"/>
              </w:rPr>
              <w:t>YES</w:t>
            </w:r>
          </w:p>
        </w:tc>
      </w:tr>
      <w:tr>
        <w:trPr>
          <w:cantSplit w:val="true"/>
        </w:trPr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8"/>
              </w:rPr>
              <w:t>HUMAN_REVIEW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8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8"/>
              </w:rPr>
              <w:t>MOC_OPERATIONAL_PACKAGE_APPROVED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8"/>
              </w:rPr>
              <w:t>NO</w:t>
            </w:r>
          </w:p>
        </w:tc>
      </w:tr>
      <w:tr>
        <w:trPr>
          <w:cantSplit w:val="true"/>
        </w:trPr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8"/>
              </w:rPr>
              <w:t>SCIENTIFIC_VALIDATION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8"/>
              </w:rPr>
              <w:t>NOT_TESTED</w:t>
            </w:r>
          </w:p>
        </w:tc>
      </w:tr>
      <w:tr>
        <w:trPr>
          <w:cantSplit w:val="true"/>
        </w:trPr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8"/>
              </w:rPr>
              <w:t>G0_AUTHORIZED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8"/>
              </w:rPr>
              <w:t>NO</w:t>
            </w:r>
          </w:p>
        </w:tc>
      </w:tr>
      <w:tr>
        <w:trPr>
          <w:cantSplit w:val="true"/>
        </w:trPr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8"/>
              </w:rPr>
              <w:t>MODEL_TRAINING_AUTHORIZED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8"/>
              </w:rPr>
              <w:t>NO</w:t>
            </w:r>
          </w:p>
        </w:tc>
      </w:tr>
      <w:tr>
        <w:trPr>
          <w:cantSplit w:val="true"/>
        </w:trPr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8"/>
              </w:rPr>
              <w:t>CANONIZATION_AUTHORIZED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8"/>
              </w:rPr>
              <w:t>NO</w:t>
            </w:r>
          </w:p>
        </w:tc>
      </w:tr>
      <w:tr>
        <w:trPr>
          <w:cantSplit w:val="true"/>
        </w:trPr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8"/>
              </w:rPr>
              <w:t>ACTIVATION_AUTHORIZED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color w:val="1F2328"/>
                <w:sz w:val="18"/>
              </w:rPr>
              <w:t>NO</w:t>
            </w:r>
          </w:p>
        </w:tc>
      </w:tr>
    </w:tbl>
    <w:p>
      <w:pPr>
        <w:spacing w:after="0" w:line="20" w:lineRule="exact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5B6573"/>
        <w:sz w:val="16"/>
      </w:rPr>
      <w:t xml:space="preserve">Revisión humana — no canon — G0 no autorizado    |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color w:val="5B6573"/>
        <w:sz w:val="16"/>
      </w:rPr>
      <w:t>MOC · Cuaderno de decisión semántica · CANDIDATO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Calibri" w:hAnsi="Calibri" w:eastAsia="Calibri"/>
      <w:color w:val="1F23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1F4D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 w:eastAsia="Calibri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00" w:lineRule="auto" w:after="80"/>
      <w:contextualSpacing/>
    </w:pPr>
    <w:rPr>
      <w:rFonts w:ascii="Calibri" w:hAnsi="Calibri" w:eastAsia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300" w:lineRule="auto" w:after="80"/>
      <w:contextualSpacing/>
    </w:pPr>
    <w:rPr>
      <w:rFonts w:ascii="Calibri" w:hAnsi="Calibri" w:eastAsia="Calibr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Cuaderno de decisión semántica del Pentacoro</dc:title>
  <dc:subject>Definiciones candidatas, fronteras, relaciones y decisiones humanas</dc:subject>
  <dc:creator>Concordante Lab — artefacto de revisión</dc:creator>
  <cp:keywords>MOC, Pentacoro, observabilidad, semántica, revisión humana</cp:keywords>
  <dc:description>Candidato no aprobado; G0 no autorizado.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