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8B914"/>
                <w:sz w:val="22"/>
                <w:szCs w:val="22"/>
              </w:rPr>
              <w:t xml:space="preserve">LABORATORIUM 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Analiza zachowań użytkowników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 iteracja projektu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BFF"/>
                <w:sz w:val="20"/>
                <w:szCs w:val="20"/>
              </w:rPr>
              <w:t xml:space="preserve">Zaawansowany interfejs użytkownika (324796)  •  90 minut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FF"/>
                <w:sz w:val="20"/>
                <w:szCs w:val="20"/>
              </w:rPr>
              <w:t xml:space="preserve">mgr inż. Dominik Aksamit  •  semestr zimowy 2025/2026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Cele zajęć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6"/>
        <w:gridCol w:w="3400"/>
      </w:tblGrid>
      <w:tr>
        <w:tc>
          <w:tcPr>
            <w:tcW w:type="dxa" w:w="16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</w:t>
            </w:r>
          </w:p>
        </w:tc>
        <w:tc>
          <w:tcPr>
            <w:tcW w:type="dxa" w:w="45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Treść efektu</w:t>
            </w:r>
          </w:p>
        </w:tc>
        <w:tc>
          <w:tcPr>
            <w:tcW w:type="dxa" w:w="34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Realizacja na zajęciach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IN2_U02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Potrafi analizować i interpretować dane dotyczące zachowań użytkowników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Analiza pliku CSV z sesjami (Zadanie 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IN2_U03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Wykorzystuje dane do iteracyjnego doskonalenia interfejsów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Propozycja 3 iteracji z uzasadnieniem (Zadanie 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IN2_U08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Stosuje narzędzia i metody badawcze w pracy z interfejsami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Konfiguracja GA4/Plausible, zdarzenia niestandardowe (Zadanie A)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Po zajęciach student: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rozróżnia i dobiera odpowiedni rodzaj danych behawioralnych do konkretnego problemu projektowego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konfiguruje śledzenie zdarzeń niestandardowych i konwersji w projekcie React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odczytuje kluczowe metryki z surowych danych (bounce rate, drop-off w formularzu, click-through)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formułuje propozycje iteracji projektu uzasadnione danymi, a nie intuicją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stosuje zasady RODO i dobrej praktyki anonimizacji przy pracy z danymi użytkowników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Część teoretyczna — 20 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2.1 Dane ilościowe vs jakościowe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Dane ilościowe (Analytics)</w:t>
            </w:r>
          </w:p>
        </w:tc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Dane jakościowe (Behavioral)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GA4, Plausible, Matomo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sesje, użytkownicy, pageviews, czas na stronie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funnel analysis – które kroki są porzucane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bounce rate, exit rate, conversion rate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3FF"/>
                <w:sz w:val="20"/>
                <w:szCs w:val="20"/>
              </w:rPr>
              <w:t xml:space="preserve">Pytanie: CO się dzieje?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Hotjar, Microsoft Clarity, FullStory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nagrania sesji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heatmapy: click, scroll, 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form analytics – pole porzucenia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3FF"/>
                <w:sz w:val="20"/>
                <w:szCs w:val="20"/>
              </w:rPr>
              <w:t xml:space="preserve">Pytanie: DLACZEGO to się dzieje?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2.2 Narzędzia a wydajność strony — kompromisy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Instalowanie bibliotek śledzenia to realna ingerencja w performance strony. Każdy skrypt analityczny opóźnia wczytanie, blokuje rendering i ogranicza wyniki Core Web Vitals.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406"/>
      </w:tblGrid>
      <w:tr>
        <w:tc>
          <w:tcPr>
            <w:tcW w:type="dxa" w:w="28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W w:type="dxa" w:w="33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 na performance</w:t>
            </w:r>
          </w:p>
        </w:tc>
        <w:tc>
          <w:tcPr>
            <w:tcW w:type="dxa" w:w="34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Tag Manager (GTM)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Wysoki — synchroniczny skrypt blokujący, ładuje wszystkie tagi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Elastyczny, ale łatwo o tag leak; wymaga audytu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Analytics 4 (via GTM)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Średnio-wysoki — async, ale duże bundle (ok. 45 kB gzip)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Wymaga cookie consent na terenie 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react-ga4 (bezpośredni)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Średnio-niski — bez nadkładu GTM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Prostszy stos, mniej punktów awarii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Plausible (privacy-first)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Niski — lekki skrypt &lt; 1 kB, brak cookie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CMPs, zgodny z RODO out-of-the-box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Hotjar / Clarity (nagrania)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Wysoki — ładuje dodatkowy iframe, wpływa na LCP/TBT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Nigdy na środowiskach produkcyjnych bez testowania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000" w:sz="12"/>
              <w:left w:val="single" w:color="C99000" w:sz="12"/>
              <w:bottom w:val="none"/>
              <w:right w:val="none"/>
            </w:tcBorders>
            <w:shd w:fill="FEF6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000"/>
                <w:sz w:val="20"/>
                <w:szCs w:val="20"/>
              </w:rPr>
              <w:t xml:space="preserve">⚠  Performance vs. Observability — podstawowy kompromis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Zasada: mierz tylko to, co jest niezbędne. Każdy dodatkowy tag w GTM to potencjalny spadek Lighthouse score.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GTM "tag limit" — bez audytu łatwo akumuluje zduplikowane lub nieaktywne tagi, które i tak są parsowane.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Alternatywa: server-side tagging (GTM server container) — przenosi logikę śledzenia na serwer, zmniejsza wpływ na klienta.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2.3 Eksploracja narzędzi — zadanie wprowadzające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Zanim przejdziesz do właściwej konfiguracji, pośwęć 5 minut na samodzielne przejrzenie dostępnych narzędzi. Odpowiedzi zapisz w Arkuszu odpowiedzi (ostatnia strona).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4200"/>
      </w:tblGrid>
      <w:tr>
        <w:tc>
          <w:tcPr>
            <w:tcW w:type="dxa" w:w="5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eksploracyjne</w:t>
            </w:r>
          </w:p>
        </w:tc>
        <w:tc>
          <w:tcPr>
            <w:tcW w:type="dxa" w:w="42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 szukać?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91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Jakie zdarzenia GA4 śledzi domyślnie bez konfiguracji? Które wymagają implementacji?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Dokumentacja GA4 Automatically collected events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 oferuje Microsoft Clarity za darmo? Porównaj z Hotjar Free Plan — które wybrałbyś i dlaczego?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clarity.microsoft.com vs hotjar.com/pricing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91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Sprawdź rozmiar paczki react-ga4 i plausible-tracker na Bundlephobia. Która jest lżejśza i o ile?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bundlephobia.com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Które narzędzie z tabeli w pkt 2.2 wymaga banera cookie na polskiej stronie? Uzasadnij.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uodo.gov.pl + dokumentacja narzędzia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914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ZADANIE 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Konfiguracja narzędzia analitycznego w React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Wybierz jedną ze ścieżek i zintegruj wybrane narzędzie analityczne z projektem React, nad którym pracowałeś/aś przez ostatnie laboratoria. Podstawą jest Twój własny kod — nie starter. Jeśli projekt jest nieukończony, wystarczy działający routing i co najmniej jeden interaktywny komponent (formularz, przycisk CTA).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000" w:sz="12"/>
              <w:left w:val="single" w:color="C99000" w:sz="12"/>
              <w:bottom w:val="none"/>
              <w:right w:val="none"/>
            </w:tcBorders>
            <w:shd w:fill="FEF6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000"/>
                <w:sz w:val="20"/>
                <w:szCs w:val="20"/>
              </w:rPr>
              <w:t xml:space="preserve">⚠  Wymaganie wstępne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Zadanie A oceniane jest na podstawie Twojego projektu z laboratoriów. Kod musi być widoczny w repozytorium lub udostępniony prowadzącemu do wglądu.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Jeśli projekt nie ma routingu: dodaj choćby dwie trasy (np. / i /about) — to wystarczy do śledzenia pageviews.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Ścieżka A — Google Analytics 4 + react-ga4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npm install react-ga4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// main.jsx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import ReactGA from "react-ga4";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ReactGA.initialize("G-XXXXXXXXXX",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gaOptions: { anonymize_ip: true },  // RODO: anonimizacja IP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Ścieżka B — Plausible (zalecana, privacy-first)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npm install plausible-tracker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// analytics.js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import Plausible from "plausible-tracker";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export const plausible = Plausible({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domain: "localhost",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trackLocalhost: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plausible.enableAutoPageviews();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// Zdarzenie niestandardowe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plausible.trackEvent("CTA Click", { props: { location: "hero" } });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Do wykonania:</w:t>
      </w:r>
    </w:p>
    <w:p>
      <w:pPr>
        <w:pStyle w:val="ListParagraph"/>
        <w:numPr>
          <w:ilvl w:val="0"/>
          <w:numId w:val="3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Zainstalować wybraną bibliotekę i zainicjalizować śledzenie pageviews</w:t>
      </w:r>
    </w:p>
    <w:p>
      <w:pPr>
        <w:pStyle w:val="ListParagraph"/>
        <w:numPr>
          <w:ilvl w:val="0"/>
          <w:numId w:val="3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Dodać minimum 3 zdarzenia niestandardowe: kliknięcie CTA, porzucenie formularza, submit</w:t>
      </w:r>
    </w:p>
    <w:p>
      <w:pPr>
        <w:pStyle w:val="ListParagraph"/>
        <w:numPr>
          <w:ilvl w:val="0"/>
          <w:numId w:val="3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Udokumentować w komentarzu: jakie dane są zbierane i dlaczego są niezbędne (zasada minimalizacji RODO)</w:t>
      </w:r>
    </w:p>
    <w:p>
      <w:pPr>
        <w:pStyle w:val="ListParagraph"/>
        <w:numPr>
          <w:ilvl w:val="0"/>
          <w:numId w:val="3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Zweryfikować w DevTools Network, że skrypt nie blokuje render-blocking (atrybut async/defer)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Pytania kontrolne: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Jaka jest różnica między event a pageview w GA4?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Dlaczego Plausible nie wymaga banera cookie?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Czym różni się GTM od bezpośredniego wdrożenia GA4?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 to jest server-side tagging i kiedy warto go stosować?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914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ZADANIE B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Symulacja analizy danych — plik CSV z sesjami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0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Otrzymujesz plik sessions_lab12.csv z zanonimizowanymi, syntetycznymi danymi z 30-dniowej sesji aplikacji webowej. Żadne dane osobowe nie są przetwarzane.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Struktura pliku: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70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Zanonimizowany identyfikator sesji (UUID)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Odwiedzona podstrona: home, about, form, confirm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Czas spędzony na stronie w sekundach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bounce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 jeśli sesja jednostronicowa bez interakcji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form_step_reached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Ostatni ukończony krok formularza (1–4) lub puste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element_clicked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Najczęściej klikany element w sesji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timestamp_bucket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Pora dnia: morning, afternoon, evening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Pytania analityczne do odpowiedzi: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Kod startowy: wczytanie pliku CSV (przeglądarka + PapaParse)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// index.html: &lt;script src="https://cdnjs.cloudflare.com/ajax/libs/PapaParse/5.4.1/papaparse.min.js"&gt;&lt;/script&gt;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async function loadCSV(path)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text = await fetch(path).then(r =&gt; r.text());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return Papa.parse(text, { header: true, dynamicTyping: true, skipEmptyLines: true }).data;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const data = await loadCSV("sessions_lab12.csv");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3FF"/>
          <w:sz w:val="20"/>
          <w:szCs w:val="20"/>
        </w:rPr>
        <w:t xml:space="preserve">Pytanie 1 — Które ekrany mają najwyższy bounce rate?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function bounceRateByPage(data)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stats = {};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for (const row of data)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if (!stats[row.page]) stats[row.page] = { total: 0, bounced: 0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stats[row.page].total++;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if (row.bounce === true || row.bounce === "true") stats[row.page].bounced++;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return Object.entries(stats)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.map(([page, s]) =&gt; ({ page, bounceRate: (s.bounced / s.total * 100).toFixed(1) + "%" }))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.sort((a, b) =&gt; parseFloat(b.bounceRate) - parseFloat(a.bounceRate));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console.table(bounceRateByPage(data));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3FF"/>
          <w:sz w:val="20"/>
          <w:szCs w:val="20"/>
        </w:rPr>
        <w:t xml:space="preserve">Pytanie 2 — Gdzie użytkownicy rezygnują z formularza?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function formDropOff(data)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formRows = data.filter(r =&gt; r.page === "form" &amp;&amp; r.form_step_reached);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total = formRows.length;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result = {};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for (let step = 1; step &lt;= 4; step++)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const reached = formRows.filter(r =&gt; Number(r.form_step_reached) &gt;= step).length;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result[`Krok ${step}`] = `${(reached / total * 100).toFixed(1)}% (${reached}/${total})`;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return result;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console.table(formDropOff(data));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3FF"/>
          <w:sz w:val="20"/>
          <w:szCs w:val="20"/>
        </w:rPr>
        <w:t xml:space="preserve">Pytanie 3 — Jakie elementy są najczęściej klikane?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function topClicks(data, n = 10)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const freq = {};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for (const row of data)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if (row.element_clicked) freq[row.element_clicked] = (freq[row.element_clicked] || 0) + 1;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return Object.entries(freq)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.sort((a, b) =&gt; b[1] - a[1])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.slice(0, 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    .map(([element, count]) =&gt; ({ element, count }));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B5D1"/>
                <w:sz w:val="18"/>
                <w:szCs w:val="18"/>
              </w:rPr>
              <w:t xml:space="preserve">console.table(topClicks(data));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Oczekiwany output: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Tabela bounce rate per strona z komentarzem interpretacyjnym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Wykres słupkowy drop-off formularza krok po kroku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Ranking 5 najczęściej klikanych elementów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Wstępna hipoteza: co może być przyczyną każdego problemu?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914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ZADANIE C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Propozycja 3 iteracji projektu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Na podstawie wyników Zadania B zaproponuj 3 konkretne iteracje UI. Każda musi być uzasadniona danymi.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Szablon propozycji: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(dane)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np. bounce rate strony home = 78%; CTA klikany tylko przez 12% sesji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Hipoteza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 może być przyczyną? Odwołaj się do konkretnej liczby z analizy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Proponowana zmiana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Konkretna zmiana UI/UX: co, gdzie, jak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Metryka sukcesu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np. wzrost kliknięć CTA o min. 20% w następnej iteracji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Estymowany wysiłek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Niski / Średnio / Wysoki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Etyczne aspekty zbierania danych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 RODO (art. 5)</w:t>
            </w:r>
          </w:p>
        </w:tc>
        <w:tc>
          <w:tcPr>
            <w:tcW w:type="dxa" w:w="65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Implikacja dla UI/analityki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Minimalizacja danych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Zbieraj tylko to, co niezbędne; unikaj fingerprintingu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Ograniczenie celu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Dane analityczne nie mogą być użyte do profilowania bez zgody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Integralność i poufność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Anonimizacja/pseudonimizacja IP i session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Rozliczalność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Dokumentuj, jakie zdarzenia śledzisz i dlaczego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Checklist anonimizacji: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IP anonimizowane na poziomie konfiguracji (anonymize_ip: true)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Session ID to UUID bez powiązania z danymi osobowymi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Brak zbierania treści wpisanych w formularze (hasła, dane osobowe)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Czas przechowywania danych ograniczony (GA4: max 14 miesięcy)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Polityka prywatności zaktualizowana o nowe zdarzenia</w:t>
      </w:r>
    </w:p>
    <w:p>
      <w:pPr>
        <w:pStyle w:val="ListParagraph"/>
        <w:numPr>
          <w:ilvl w:val="0"/>
          <w:numId w:val="4"/>
        </w:num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Cookie consent zaimplementowany przed inicjalizacją GA4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Kryteria oceny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7.1 Zadanie A — Integracja narzędzia z własnym projektem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6"/>
        <w:gridCol w:w="2100"/>
        <w:gridCol w:w="2000"/>
        <w:gridCol w:w="2000"/>
      </w:tblGrid>
      <w:tr>
        <w:tc>
          <w:tcPr>
            <w:tcW w:type="dxa" w:w="34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1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pkt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Integracja z własnym projektem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/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Skonfigurowany w starterze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Skonfigurowany w projekcie z lab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Śledzenie pageviews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Tylko jedna trasa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Wszystkie trasy projektu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Zdarzenia niestandardowe (≥3)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zdarzenia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3+ zdarzeń z komentarzem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Eksploracja narzędzi (pkt 2.3)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odpowiedzi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pytania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Wszystkie 4 + uzasadnienia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RODO — minimalizacja danych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Pomińnięte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Wzmianki w kodzie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Komentarz do każdego eventu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7.2 Zadanie B — Analiza CSV (JavaScript)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6"/>
        <w:gridCol w:w="2100"/>
        <w:gridCol w:w="2000"/>
        <w:gridCol w:w="2000"/>
      </w:tblGrid>
      <w:tr>
        <w:tc>
          <w:tcPr>
            <w:tcW w:type="dxa" w:w="34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1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pkt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Poprawność kodu 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Kod nie działa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Działa częściowo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Wszystkie 3 funkcje działają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Bounce rate — poprawność obliczeń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Błąd &gt; 10 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Wynik, brak sortowania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Posortowana tabela z komentarzem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Drop-off formularza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/ nielogiczny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Tylko liczby bez wniosku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Liczby + wskazanie kroku porzucenia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Interpretacja i hipotezy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Ogólna obsęrwacja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Hipoteza + powiązanie z UI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7.3 Zadanie C — Iteracje projektu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6"/>
        <w:gridCol w:w="2100"/>
        <w:gridCol w:w="2000"/>
        <w:gridCol w:w="2000"/>
      </w:tblGrid>
      <w:tr>
        <w:tc>
          <w:tcPr>
            <w:tcW w:type="dxa" w:w="34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1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pkt</w:t>
            </w:r>
          </w:p>
        </w:tc>
        <w:tc>
          <w:tcPr>
            <w:tcW w:type="dxa" w:w="20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pkt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Powiązanie z danymi z Zad. 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odniesienia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Ogólne odniesienie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Konkretna metryka z analizy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Precyzja proponowanej zmiany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"poprawić UI"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Wskazany element interfejsu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Konkretna zmiana z opisem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Powiązanie z własnym projektem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Ogólny przykład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Nawiązuje do projektu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Konkretny ekran/komponent z projektu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Mierzalność iteracji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Brak metryki sukcesu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Metryka ogólna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Metryka + wartość docelowa</w:t>
            </w:r>
          </w:p>
        </w:tc>
      </w:tr>
      <w:tr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Aspekt etyczny / RODO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Pomińnięty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Wzmianka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Zintegrowany z propozycją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Przelicznik punktów → ocena (Zadanie C, maks. 10 pkt):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9–10 pkt</w:t>
            </w:r>
          </w:p>
        </w:tc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7–8 pkt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5–6 pkt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5 pkt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5,0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3,5 / 3,0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Ocena końcowa laboratorium: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3"/>
        <w:gridCol w:w="2751"/>
        <w:gridCol w:w="2752"/>
      </w:tblGrid>
      <w:tr>
        <w:tc>
          <w:tcPr>
            <w:tcW w:type="dxa" w:w="400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Składnik</w:t>
            </w:r>
          </w:p>
        </w:tc>
        <w:tc>
          <w:tcPr>
            <w:tcW w:type="dxa" w:w="2751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Waga</w:t>
            </w:r>
          </w:p>
        </w:tc>
        <w:tc>
          <w:tcPr>
            <w:tcW w:type="dxa" w:w="2752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Maks. punkty</w:t>
            </w:r>
          </w:p>
        </w:tc>
      </w:tr>
      <w:tr>
        <w:tc>
          <w:tcPr>
            <w:tcW w:type="dxa" w:w="4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Zadanie A — integracja + eksploracja narzędzi</w:t>
            </w:r>
          </w:p>
        </w:tc>
        <w:tc>
          <w:tcPr>
            <w:tcW w:type="dxa" w:w="2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pkt</w:t>
            </w:r>
          </w:p>
        </w:tc>
      </w:tr>
      <w:tr>
        <w:tc>
          <w:tcPr>
            <w:tcW w:type="dxa" w:w="4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Zadanie B — analiza CSV (JS)</w:t>
            </w:r>
          </w:p>
        </w:tc>
        <w:tc>
          <w:tcPr>
            <w:tcW w:type="dxa" w:w="2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2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pkt</w:t>
            </w:r>
          </w:p>
        </w:tc>
      </w:tr>
      <w:tr>
        <w:tc>
          <w:tcPr>
            <w:tcW w:type="dxa" w:w="4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Zadanie C — propozycje iteracji</w:t>
            </w:r>
          </w:p>
        </w:tc>
        <w:tc>
          <w:tcPr>
            <w:tcW w:type="dxa" w:w="2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pkt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Materiały i linki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Dokumentacja narzędzi analitycznych: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Plausible Docs — </w:t>
      </w:r>
      <w:hyperlink w:history="1" r:id="rIdott7mz4kh1_dq-srtsvfh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https://plausible.io/docs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react-ga4 (npm) — </w:t>
      </w:r>
      <w:hyperlink w:history="1" r:id="rId6t31x3zlduez0iefth3wp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https://www.npmjs.com/package/react-ga4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Google Tag Manager — </w:t>
      </w:r>
      <w:hyperlink w:history="1" r:id="rIdf9hwxelcb59uudooet9am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https://tagmanager.google.com/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Microsoft Clarity (darmowe nagrania/heatmapy) — </w:t>
      </w:r>
      <w:hyperlink w:history="1" r:id="rIdg3saxbol9vroucqoj_is-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https://clarity.microsoft.com/</w:t>
        </w:r>
      </w:hyperlink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Performance i Core Web Vitals: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Web Vitals — </w:t>
      </w:r>
      <w:hyperlink w:history="1" r:id="rIdzjj_w49qykixzkxou0ymt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https://web.dev/vitals/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PageSpeed Insights — </w:t>
      </w:r>
      <w:hyperlink w:history="1" r:id="rIdyek9m5k9vhxl86jyydvst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https://pagespeed.web.dev/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Bundlephobia (sprawdź rozmiar paczki npm) — </w:t>
      </w:r>
      <w:hyperlink w:history="1" r:id="rIdhr2cddmcjwkvx899weil4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https://bundlephobia.com/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GTM server-side tagging — </w:t>
      </w:r>
      <w:hyperlink w:history="1" r:id="rIdyksgtae5nm6wfhbdujxbo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https://developers.google.com/tag-platform/tag-manager/server-side</w:t>
        </w:r>
      </w:hyperlink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Prawo i prywatność: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UODO — poradnik dla programów i developerów — </w:t>
      </w:r>
      <w:hyperlink w:history="1" r:id="rIdo19iynp3g725ywub8xpqk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https://uodo.gov.pl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UODO — stanowisko w sprawie Google Analytics — </w:t>
      </w:r>
      <w:hyperlink w:history="1" r:id="rIdfllo-6q1k0lllmd7m0-0n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https://uodo.gov.pl/pl/138/2061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cookieconsent (biblioteka open source) — </w:t>
      </w:r>
      <w:hyperlink w:history="1" r:id="rId4gggehogiiyt8xz8tpwk8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https://cookieconsent.orestbida.com/</w:t>
        </w:r>
      </w:hyperlink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Dodatkowe źródła: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Hotjar — </w:t>
      </w:r>
      <w:hyperlink w:history="1" r:id="rId5axb9ilrvj57vq0a_5cen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https://www.hotjar.com/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Matomo — open source analytics — </w:t>
      </w:r>
      <w:hyperlink w:history="1" r:id="rIdk34gnzp9vz2taoauwp4js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https://matomo.org/</w:t>
        </w:r>
      </w:hyperlink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GA4 Event Naming Reference — </w:t>
      </w:r>
      <w:hyperlink w:history="1" r:id="rIdt5pydv0sd175_0bc-0o9j">
        <w:r>
          <w:rPr>
            <w:rStyle w:val="Hyperlink"/>
            <w:rFonts w:ascii="Arial" w:cs="Arial" w:eastAsia="Arial" w:hAnsi="Arial"/>
            <w:color w:val="0043FF"/>
            <w:sz w:val="20"/>
            <w:szCs w:val="20"/>
            <w:u w:val="single"/>
          </w:rPr>
          <w:t xml:space="preserve">https://developers.google.com/analytics/devguides/collection/ga4/reference/events</w:t>
        </w:r>
      </w:hyperlink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8B914"/>
                <w:sz w:val="22"/>
                <w:szCs w:val="22"/>
              </w:rPr>
              <w:t xml:space="preserve">ARKUSZ ODPOWIEDZI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Laboratorium 12 — Analiza zachowań użytkowników i iteracja projektu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Imię i nazwisko: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Data / Grupa: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Link do repozytorium (Zadanie A):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Wybrana ścieżka (Zadanie A):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▢  Plausible (privacy-first)         ▢  GA4 + react-ga4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Eksploracja narzędzi (pkt 2.3)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91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Jakie zdarzenia GA4 śledzi domyślnie? Które wymagają implementacji?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Domyślnie: 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Wymagają implementacji: _____________________________________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Microsoft Clarity vs Hotjar Free — które wybrałbyś i dlaczego?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Wybrałbym/am: ▢ Clarity  ▢ Hotjar  — ponieważ: _______________________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91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Rozmiar paczek (Bundlephobia):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react-ga4: ____________  plausible-tracker: ____________  Różnica: ____________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Które narzędzie wymaga banera cookie w Polsce? Uzasadnienie: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Wyniki analizy CSV (Zadanie B)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B1. Bounce rate per strona: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about</w:t>
            </w:r>
          </w:p>
        </w:tc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Strona z najwyższym bounce rate: ____________  Możliwa przyczyna: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B2. Drop-off formularza: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 1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 2</w:t>
            </w:r>
          </w:p>
        </w:tc>
        <w:tc>
          <w:tcPr>
            <w:tcW w:type="dxa" w:w="237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 3</w:t>
            </w:r>
          </w:p>
        </w:tc>
        <w:tc>
          <w:tcPr>
            <w:tcW w:type="dxa" w:w="2377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 4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_____%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Krok o najwyższym drop-off: ____  Hipoteza przyczyny: ________________________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B3. Top 5 klikanych elementów: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6"/>
        <w:gridCol w:w="3400"/>
      </w:tblGrid>
      <w:tr>
        <w:tc>
          <w:tcPr>
            <w:tcW w:type="dxa" w:w="6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6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 kliknięć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3FF"/>
                <w:sz w:val="24"/>
                <w:szCs w:val="24"/>
              </w:rPr>
              <w:t xml:space="preserve">Propozycje iteracji projektu (Zadanie C)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043FF" w:sz="12"/>
              <w:left w:val="single" w:color="0043FF" w:sz="12"/>
              <w:bottom w:val="none"/>
              <w:right w:val="none"/>
            </w:tcBorders>
            <w:shd w:fill="E8EE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43FF"/>
                <w:sz w:val="22"/>
                <w:szCs w:val="22"/>
              </w:rPr>
              <w:t xml:space="preserve">ITERACJA 1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(dane z Zad. B)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Hipoteza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Proponowana zmiana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Metryka sukcesu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▢ Niski    ▢ Średnio    ▢ Wysoki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99000" w:sz="12"/>
              <w:left w:val="single" w:color="C99000" w:sz="12"/>
              <w:bottom w:val="none"/>
              <w:right w:val="none"/>
            </w:tcBorders>
            <w:shd w:fill="FEF6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9000"/>
                <w:sz w:val="22"/>
                <w:szCs w:val="22"/>
              </w:rPr>
              <w:t xml:space="preserve">ITERACJA 2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(dane z Zad. B)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Hipoteza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Proponowana zmiana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Metryka sukcesu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▢ Niski    ▢ Średnio    ▢ Wysoki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555555" w:sz="12"/>
              <w:left w:val="single" w:color="555555" w:sz="12"/>
              <w:bottom w:val="none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ITERACJA 3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(dane z Zad. B)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Hipoteza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Proponowana zmiana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Metryka sukcesu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▢ Niski    ▢ Średnio    ▢ Wysoki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Podpis prowadzącego: ___________________</w:t>
            </w:r>
          </w:p>
        </w:tc>
        <w:tc>
          <w:tcPr>
            <w:tcW w:type="dxa" w:w="4753"/>
            <w:tcBorders>
              <w:top w:val="single" w:color="0043FF" w:sz="1"/>
              <w:left w:val="single" w:color="0043FF" w:sz="1"/>
              <w:bottom w:val="single" w:color="0043FF" w:sz="1"/>
              <w:right w:val="single" w:color="0043F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Ocena: _____  / Data: ___________</w:t>
            </w:r>
          </w:p>
        </w:tc>
      </w:tr>
    </w:tbl>
    <w:p>
      <w:pPr>
        <w:pBdr>
          <w:top w:val="single" w:color="CCCCCC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Konspekt przygotowany na podstawie sylabusa przedmiotu 324796 — Zaawansowany interfejs użytkownika, AT WP-IN-II-25/26L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3"/>
      <w:gridCol w:w="4003"/>
    </w:tblGrid>
    <w:tr>
      <w:tc>
        <w:tcPr>
          <w:tcW w:type="dxa" w:w="5503"/>
          <w:tcBorders>
            <w:top w:val="single" w:color="CCCCCC" w:sz="4"/>
            <w:left w:val="none"/>
            <w:bottom w:val="none"/>
            <w:right w:val="none"/>
          </w:tcBorders>
          <w:tcMar>
            <w:top w:type="dxa" w:w="60"/>
          </w:tcMar>
        </w:tcPr>
        <w:p>
          <w:r>
            <w:rPr>
              <w:rFonts w:ascii="Arial" w:cs="Arial" w:eastAsia="Arial" w:hAnsi="Arial"/>
              <w:color w:val="777777"/>
              <w:sz w:val="16"/>
              <w:szCs w:val="16"/>
            </w:rPr>
            <w:t xml:space="preserve">mgr inż. Dominik Aksamit</w:t>
          </w:r>
        </w:p>
      </w:tc>
      <w:tc>
        <w:tcPr>
          <w:tcW w:type="dxa" w:w="4003"/>
          <w:tcBorders>
            <w:top w:val="single" w:color="CCCCCC" w:sz="4"/>
            <w:left w:val="none"/>
            <w:bottom w:val="none"/>
            <w:right w:val="none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6"/>
              <w:szCs w:val="16"/>
            </w:rPr>
            <w:t xml:space="preserve">Strona </w:t>
          </w:r>
          <w:r>
            <w:rPr>
              <w:rFonts w:ascii="Arial" w:cs="Arial" w:eastAsia="Arial" w:hAnsi="Arial"/>
              <w:color w:val="777777"/>
              <w:sz w:val="16"/>
              <w:szCs w:val="16"/>
            </w:rPr>
            <w:fldChar w:fldCharType="begin"/>
          </w:r>
          <w:r>
            <w:rPr>
              <w:rFonts w:ascii="Arial" w:cs="Arial" w:eastAsia="Arial" w:hAnsi="Arial"/>
              <w:color w:val="777777"/>
              <w:sz w:val="16"/>
              <w:szCs w:val="16"/>
            </w:rPr>
            <w:instrText xml:space="preserve"> PAGE </w:instrText>
          </w:r>
          <w:r>
            <w:rPr>
              <w:rFonts w:ascii="Arial" w:cs="Arial" w:eastAsia="Arial" w:hAnsi="Arial"/>
              <w:color w:val="777777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006"/>
    </w:tblGrid>
    <w:tr>
      <w:tc>
        <w:tcPr>
          <w:tcW w:type="dxa" w:w="5500"/>
          <w:tcBorders>
            <w:top w:val="none"/>
            <w:left w:val="none"/>
            <w:bottom w:val="single" w:color="0043FF" w:sz="8"/>
            <w:right w:val="none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0043FF"/>
              <w:sz w:val="18"/>
              <w:szCs w:val="18"/>
            </w:rPr>
            <w:t xml:space="preserve">Laboratorium 12 – Analiza zachowań użytkowników</w:t>
          </w:r>
        </w:p>
      </w:tc>
      <w:tc>
        <w:tcPr>
          <w:tcW w:type="dxa" w:w="4006"/>
          <w:tcBorders>
            <w:top w:val="none"/>
            <w:left w:val="none"/>
            <w:bottom w:val="single" w:color="F8B914" w:sz="8"/>
            <w:right w:val="none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Zaawansowany interfejs użytkownika • 324796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  <w:rPr>
        <w:rFonts w:ascii="Arial" w:cs="Arial" w:eastAsia="Arial" w:hAnsi="Arial"/>
        <w:color w:val="1A1A2E"/>
        <w:sz w:val="20"/>
        <w:szCs w:val="20"/>
      </w:rPr>
    </w:lvl>
    <w:lvl w:ilvl="1" w15:tentative="1">
      <w:start w:val="1"/>
      <w:numFmt w:val="bullet"/>
      <w:lvlText w:val="○"/>
      <w:lvlJc w:val="left"/>
      <w:pPr>
        <w:spacing w:after="20" w:before="20"/>
        <w:ind w:left="1000" w:hanging="280"/>
      </w:pPr>
      <w:rPr>
        <w:rFonts w:ascii="Arial" w:cs="Arial" w:eastAsia="Arial" w:hAnsi="Arial"/>
        <w:color w:val="555555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  <w:rPr>
        <w:rFonts w:ascii="Arial" w:cs="Arial" w:eastAsia="Arial" w:hAnsi="Arial"/>
        <w:color w:val="1A1A2E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spacing w:after="30" w:before="30"/>
        <w:ind w:left="560" w:hanging="280"/>
      </w:pPr>
      <w:rPr>
        <w:rFonts w:ascii="Arial" w:cs="Arial" w:eastAsia="Arial" w:hAnsi="Arial"/>
        <w:color w:val="1A1A2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43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f9hwxelcb59uudooet9am" Type="http://schemas.openxmlformats.org/officeDocument/2006/relationships/hyperlink" Target="https://tagmanager.google.com/" TargetMode="External"/><Relationship Id="rId26" Type="http://schemas.openxmlformats.org/officeDocument/2006/relationships/customXml" Target="../customXml/item3.xml"/><Relationship Id="rId3" Type="http://schemas.openxmlformats.org/officeDocument/2006/relationships/footnotes" Target="footnotes.xml"/><Relationship Id="rIdzjj_w49qykixzkxou0ymt" Type="http://schemas.openxmlformats.org/officeDocument/2006/relationships/hyperlink" Target="https://web.dev/vitals/" TargetMode="External"/><Relationship Id="rIdyek9m5k9vhxl86jyydvst" Type="http://schemas.openxmlformats.org/officeDocument/2006/relationships/hyperlink" Target="https://pagespeed.web.dev/" TargetMode="External"/><Relationship Id="rId4gggehogiiyt8xz8tpwk8" Type="http://schemas.openxmlformats.org/officeDocument/2006/relationships/hyperlink" Target="https://cookieconsent.orestbida.com/" TargetMode="External"/><Relationship Id="rIdk34gnzp9vz2taoauwp4js" Type="http://schemas.openxmlformats.org/officeDocument/2006/relationships/hyperlink" Target="https://matomo.org/" TargetMode="External"/><Relationship Id="rId7" Type="http://schemas.openxmlformats.org/officeDocument/2006/relationships/header" Target="header1.xm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fllo-6q1k0lllmd7m0-0n" Type="http://schemas.openxmlformats.org/officeDocument/2006/relationships/hyperlink" Target="https://uodo.gov.pl/pl/138/2061" TargetMode="Externa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hr2cddmcjwkvx899weil4" Type="http://schemas.openxmlformats.org/officeDocument/2006/relationships/hyperlink" Target="https://bundlephobia.com/" TargetMode="External"/><Relationship Id="rId24" Type="http://schemas.openxmlformats.org/officeDocument/2006/relationships/customXml" Target="../customXml/item1.xml"/><Relationship Id="rId5" Type="http://schemas.openxmlformats.org/officeDocument/2006/relationships/settings" Target="settings.xml"/><Relationship Id="rIdyksgtae5nm6wfhbdujxbo" Type="http://schemas.openxmlformats.org/officeDocument/2006/relationships/hyperlink" Target="https://developers.google.com/tag-platform/tag-manager/server-side" TargetMode="External"/><Relationship Id="rId23" Type="http://schemas.openxmlformats.org/officeDocument/2006/relationships/fontTable" Target="fontTable.xml"/><Relationship Id="rIdott7mz4kh1_dq-srtsvfh" Type="http://schemas.openxmlformats.org/officeDocument/2006/relationships/hyperlink" Target="https://plausible.io/docs" TargetMode="External"/><Relationship Id="rId6t31x3zlduez0iefth3wp" Type="http://schemas.openxmlformats.org/officeDocument/2006/relationships/hyperlink" Target="https://www.npmjs.com/package/react-ga4" TargetMode="External"/><Relationship Id="rIdg3saxbol9vroucqoj_is-" Type="http://schemas.openxmlformats.org/officeDocument/2006/relationships/hyperlink" Target="https://clarity.microsoft.com/" TargetMode="External"/><Relationship Id="rIdo19iynp3g725ywub8xpqk" Type="http://schemas.openxmlformats.org/officeDocument/2006/relationships/hyperlink" Target="https://uodo.gov.pl" TargetMode="External"/><Relationship Id="rId5axb9ilrvj57vq0a_5cen" Type="http://schemas.openxmlformats.org/officeDocument/2006/relationships/hyperlink" Target="https://www.hotjar.com/" TargetMode="External"/><Relationship Id="rIdt5pydv0sd175_0bc-0o9j" Type="http://schemas.openxmlformats.org/officeDocument/2006/relationships/hyperlink" Target="https://developers.google.com/analytics/devguides/collection/ga4/reference/events" TargetMode="External"/><Relationship Id="rId4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E9DD54EA5BB6458EDE815F899D5406" ma:contentTypeVersion="11" ma:contentTypeDescription="Utwórz nowy dokument." ma:contentTypeScope="" ma:versionID="72ff6d009db9bf8f301df8af88198cf5">
  <xsd:schema xmlns:xsd="http://www.w3.org/2001/XMLSchema" xmlns:xs="http://www.w3.org/2001/XMLSchema" xmlns:p="http://schemas.microsoft.com/office/2006/metadata/properties" xmlns:ns2="fcf25bfa-c557-4771-a0ea-b32421f69a3e" xmlns:ns3="fc6293d5-c6be-4e7e-8162-4ecdc702d344" targetNamespace="http://schemas.microsoft.com/office/2006/metadata/properties" ma:root="true" ma:fieldsID="fadd519edea1538a344ab09e191b99b7" ns2:_="" ns3:_="">
    <xsd:import namespace="fcf25bfa-c557-4771-a0ea-b32421f69a3e"/>
    <xsd:import namespace="fc6293d5-c6be-4e7e-8162-4ecdc702d3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25bfa-c557-4771-a0ea-b32421f69a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ba72d223-58f4-4844-8a3f-3ef588c29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293d5-c6be-4e7e-8162-4ecdc702d34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0cba6d9-7154-4f26-954c-9c364491fecd}" ma:internalName="TaxCatchAll" ma:showField="CatchAllData" ma:web="fc6293d5-c6be-4e7e-8162-4ecdc702d3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f25bfa-c557-4771-a0ea-b32421f69a3e" xsi:nil="true"/>
    <TaxCatchAll xmlns="fc6293d5-c6be-4e7e-8162-4ecdc702d344" xsi:nil="true"/>
    <lcf76f155ced4ddcb4097134ff3c332f xmlns="fcf25bfa-c557-4771-a0ea-b32421f69a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2369BE-1B56-4808-AB37-D3486BA8BECF}"/>
</file>

<file path=customXml/itemProps2.xml><?xml version="1.0" encoding="utf-8"?>
<ds:datastoreItem xmlns:ds="http://schemas.openxmlformats.org/officeDocument/2006/customXml" ds:itemID="{6FAB58C2-9CE2-4363-BED0-ED5BB03715EB}"/>
</file>

<file path=customXml/itemProps3.xml><?xml version="1.0" encoding="utf-8"?>
<ds:datastoreItem xmlns:ds="http://schemas.openxmlformats.org/officeDocument/2006/customXml" ds:itemID="{BB2E9311-59EE-4040-9C99-31282040BB6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2026-05-29T04:50:30Z</dcterms:created>
  <dcterms:modified xsi:type="dcterms:W3CDTF">2026-05-29T04:50:30Z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0x0101007DE9DD54EA5BB6458EDE815F899D5406</vt:lpwstr>
  </property>
  <property fmtid="{D5CDD505-2E9C-101B-9397-08002B2CF9AE}" pid="3" name="Order">
    <vt:r8>9669600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https://pwsztaredupl-my.sharepoint.com/personal/d_aksamit_atar_edu_pl/Documents/02. Zaawansowane Interfejs Użytkownika/ZIU_LAB12_2026.docx</vt:lpwstr>
  </property>
</Properties>
</file>