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生字记忆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  <w:t>过</w:t>
            </w: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走之旁+寸</w:t>
            </w:r>
          </w:p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1"/>
                <w:szCs w:val="21"/>
                <w:vertAlign w:val="baseline"/>
                <w:lang w:val="en-US" w:eastAsia="zh-CN"/>
              </w:rPr>
              <w:t>古时候常用的长度计量单位之一为“寸”，</w:t>
            </w:r>
            <w:r>
              <w:rPr>
                <w:rFonts w:hint="eastAsia" w:ascii="苹方 常规" w:hAnsi="苹方 常规" w:eastAsia="苹方 常规" w:cs="苹方 常规"/>
                <w:b/>
                <w:bCs/>
                <w:sz w:val="21"/>
                <w:szCs w:val="21"/>
                <w:vertAlign w:val="baseline"/>
                <w:lang w:val="en-US" w:eastAsia="zh-CN"/>
              </w:rPr>
              <w:t>走</w:t>
            </w:r>
            <w:r>
              <w:rPr>
                <w:rFonts w:hint="eastAsia" w:ascii="苹方 常规" w:hAnsi="苹方 常规" w:eastAsia="苹方 常规" w:cs="苹方 常规"/>
                <w:sz w:val="21"/>
                <w:szCs w:val="21"/>
                <w:vertAlign w:val="baseline"/>
                <w:lang w:val="en-US" w:eastAsia="zh-CN"/>
              </w:rPr>
              <w:t>过一个地方需要几</w:t>
            </w:r>
            <w:r>
              <w:rPr>
                <w:rFonts w:hint="eastAsia" w:ascii="苹方 常规" w:hAnsi="苹方 常规" w:eastAsia="苹方 常规" w:cs="苹方 常规"/>
                <w:b/>
                <w:bCs/>
                <w:sz w:val="21"/>
                <w:szCs w:val="21"/>
                <w:vertAlign w:val="baseline"/>
                <w:lang w:val="en-US" w:eastAsia="zh-CN"/>
              </w:rPr>
              <w:t>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  <w:t>强</w:t>
            </w: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弓+口+虫</w:t>
            </w:r>
          </w:p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拿着</w:t>
            </w:r>
            <w:r>
              <w:rPr>
                <w:rFonts w:hint="eastAsia" w:ascii="苹方 常规" w:hAnsi="苹方 常规" w:eastAsia="苹方 常规" w:cs="苹方 常规"/>
                <w:b/>
                <w:bCs/>
                <w:sz w:val="24"/>
                <w:szCs w:val="24"/>
                <w:vertAlign w:val="baseline"/>
                <w:lang w:val="en-US" w:eastAsia="zh-CN"/>
              </w:rPr>
              <w:t>弓</w:t>
            </w: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带着</w:t>
            </w:r>
            <w:r>
              <w:rPr>
                <w:rFonts w:hint="eastAsia" w:ascii="苹方 常规" w:hAnsi="苹方 常规" w:eastAsia="苹方 常规" w:cs="苹方 常规"/>
                <w:sz w:val="24"/>
                <w:szCs w:val="24"/>
                <w:shd w:val="clear" w:color="FFFFFF" w:fill="D9D9D9"/>
                <w:vertAlign w:val="baseline"/>
                <w:lang w:val="en-US" w:eastAsia="zh-CN"/>
              </w:rPr>
              <w:t>头盔</w:t>
            </w: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的</w:t>
            </w:r>
            <w:r>
              <w:rPr>
                <w:rFonts w:hint="eastAsia" w:ascii="苹方 常规" w:hAnsi="苹方 常规" w:eastAsia="苹方 常规" w:cs="苹方 常规"/>
                <w:b/>
                <w:bCs/>
                <w:sz w:val="24"/>
                <w:szCs w:val="24"/>
                <w:vertAlign w:val="baseline"/>
                <w:lang w:val="en-US" w:eastAsia="zh-CN"/>
              </w:rPr>
              <w:t>虫</w:t>
            </w:r>
            <w:r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  <w:t>子很强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6496" w:type="dxa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503F6"/>
    <w:rsid w:val="1BCB5486"/>
    <w:rsid w:val="2F1503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2019-03-02T16:25:00Z</dcterms:created>
  <dc:creator>iRuxu</dc:creator>
  <cp:lastModifiedBy>iRuxu</cp:lastModifiedBy>
  <dcterms:modified xsi:type="dcterms:W3CDTF">2019-03-02T16:41:05Z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