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9857E" w14:textId="42A7278A" w:rsidR="00C177A8" w:rsidRDefault="00C177A8" w:rsidP="00C177A8">
      <w:pPr>
        <w:jc w:val="both"/>
        <w:rPr>
          <w:lang w:val="en-US"/>
        </w:rPr>
      </w:pPr>
      <w:r>
        <w:rPr>
          <w:lang w:val="en-US"/>
        </w:rPr>
        <w:t>Revision of the manuscript entitled “</w:t>
      </w:r>
      <w:r w:rsidRPr="00C177A8">
        <w:rPr>
          <w:lang w:val="en-US"/>
        </w:rPr>
        <w:t>CNN-based Post-filtering for Image Quality Enhancement" submitted for publication to IEEE International Conference on Image Processing (IEEE ICIP) 2021.</w:t>
      </w:r>
    </w:p>
    <w:p w14:paraId="1562F0BC" w14:textId="0660ABBF" w:rsidR="00C177A8" w:rsidRDefault="00C177A8" w:rsidP="00C177A8">
      <w:pPr>
        <w:jc w:val="both"/>
        <w:rPr>
          <w:lang w:val="en-US"/>
        </w:rPr>
      </w:pPr>
      <w:r>
        <w:rPr>
          <w:lang w:val="en-US"/>
        </w:rPr>
        <w:t xml:space="preserve">Following the reviewers request, </w:t>
      </w:r>
      <w:r>
        <w:t>a</w:t>
      </w:r>
      <w:r>
        <w:t xml:space="preserve"> comparison with HEVC will be added</w:t>
      </w:r>
      <w:r>
        <w:t xml:space="preserve"> in the manuscript</w:t>
      </w:r>
      <w:r>
        <w:t xml:space="preserve">. IQE-CNN provides BD-Rate grains of around </w:t>
      </w:r>
      <w:r w:rsidRPr="00C177A8">
        <w:rPr>
          <w:lang w:val="en-US"/>
        </w:rPr>
        <w:t>52.33</w:t>
      </w:r>
      <w:r>
        <w:rPr>
          <w:lang w:val="en-US"/>
        </w:rPr>
        <w:t xml:space="preserve">% </w:t>
      </w:r>
      <w:r>
        <w:t>over HEVC</w:t>
      </w:r>
      <w:r>
        <w:t xml:space="preserve"> and average BD-PSNR improvement of </w:t>
      </w:r>
      <w:r w:rsidRPr="00C177A8">
        <w:rPr>
          <w:lang w:val="en-US"/>
        </w:rPr>
        <w:t>3.3246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dB.</w:t>
      </w:r>
      <w:proofErr w:type="spellEnd"/>
    </w:p>
    <w:p w14:paraId="6A3B7767" w14:textId="1E9FE9E9" w:rsidR="00C177A8" w:rsidRDefault="00C177A8" w:rsidP="00C177A8">
      <w:pPr>
        <w:jc w:val="both"/>
        <w:rPr>
          <w:lang w:val="en-US"/>
        </w:rPr>
      </w:pPr>
      <w:r>
        <w:rPr>
          <w:lang w:val="en-US"/>
        </w:rPr>
        <w:t>Figures 3 and 4 in the manuscript will be updated as show</w:t>
      </w:r>
      <w:r w:rsidR="00916B81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bellow</w:t>
      </w:r>
      <w:proofErr w:type="spellEnd"/>
      <w:r>
        <w:rPr>
          <w:lang w:val="en-US"/>
        </w:rPr>
        <w:t>.</w:t>
      </w:r>
    </w:p>
    <w:p w14:paraId="2AF5468A" w14:textId="77777777" w:rsidR="00916B81" w:rsidRDefault="00916B81" w:rsidP="00C177A8">
      <w:pPr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916B81" w14:paraId="7252145D" w14:textId="2F1340F8" w:rsidTr="00916B81">
        <w:tc>
          <w:tcPr>
            <w:tcW w:w="3237" w:type="dxa"/>
          </w:tcPr>
          <w:p w14:paraId="33AB6F0A" w14:textId="77777777" w:rsidR="00916B81" w:rsidRDefault="00916B81" w:rsidP="00C177A8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050067" wp14:editId="359B0E11">
                  <wp:extent cx="1968544" cy="147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4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AA3BF" w14:textId="4EE076DD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  <w:tc>
          <w:tcPr>
            <w:tcW w:w="3237" w:type="dxa"/>
          </w:tcPr>
          <w:p w14:paraId="69464507" w14:textId="77777777" w:rsidR="00916B81" w:rsidRDefault="00916B81" w:rsidP="00C177A8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C41499" wp14:editId="5923DDAC">
                  <wp:extent cx="1968546" cy="147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6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89CBF" w14:textId="558EBD8E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3238" w:type="dxa"/>
          </w:tcPr>
          <w:p w14:paraId="1D0F5AB7" w14:textId="77777777" w:rsidR="00916B81" w:rsidRDefault="00916B81" w:rsidP="00C177A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EE5E8" wp14:editId="78EFDD47">
                  <wp:extent cx="1968546" cy="147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6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B1FFE" w14:textId="6EE44986" w:rsidR="00916B81" w:rsidRDefault="00916B81" w:rsidP="00916B81">
            <w:pPr>
              <w:jc w:val="center"/>
              <w:rPr>
                <w:noProof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  <w:tc>
          <w:tcPr>
            <w:tcW w:w="3238" w:type="dxa"/>
          </w:tcPr>
          <w:p w14:paraId="6D2894A4" w14:textId="77777777" w:rsidR="00916B81" w:rsidRDefault="00916B81" w:rsidP="00C177A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7B418" wp14:editId="40461316">
                  <wp:extent cx="1968546" cy="147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6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048BB" w14:textId="38B8CF32" w:rsidR="00916B81" w:rsidRDefault="00916B81" w:rsidP="00916B81">
            <w:pPr>
              <w:jc w:val="center"/>
              <w:rPr>
                <w:noProof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</w:tr>
      <w:tr w:rsidR="00916B81" w14:paraId="3F9BA7FB" w14:textId="55E2F138" w:rsidTr="00916B81">
        <w:tc>
          <w:tcPr>
            <w:tcW w:w="3237" w:type="dxa"/>
          </w:tcPr>
          <w:p w14:paraId="2B3DC72B" w14:textId="77777777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DDDFD2" wp14:editId="61F33A0D">
                  <wp:extent cx="1968547" cy="147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7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430D7" w14:textId="30073085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3237" w:type="dxa"/>
          </w:tcPr>
          <w:p w14:paraId="24872D52" w14:textId="77777777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50018B" wp14:editId="13E2A2C1">
                  <wp:extent cx="1968547" cy="147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7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8817" w14:textId="3F35CC87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)</w:t>
            </w:r>
          </w:p>
        </w:tc>
        <w:tc>
          <w:tcPr>
            <w:tcW w:w="3238" w:type="dxa"/>
          </w:tcPr>
          <w:p w14:paraId="6BD901B6" w14:textId="77777777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DCA30" wp14:editId="62DCE9D7">
                  <wp:extent cx="1968547" cy="147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7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DF002" w14:textId="1E34467D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)</w:t>
            </w:r>
          </w:p>
        </w:tc>
        <w:tc>
          <w:tcPr>
            <w:tcW w:w="3238" w:type="dxa"/>
          </w:tcPr>
          <w:p w14:paraId="2C75364C" w14:textId="77777777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4AADBC" wp14:editId="2D7CEF2C">
                  <wp:extent cx="1968547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47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CCF86" w14:textId="35452B1D" w:rsidR="00916B81" w:rsidRDefault="00916B81" w:rsidP="00916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916B81" w14:paraId="7C9DBF86" w14:textId="63C2543E" w:rsidTr="00916B81">
        <w:tc>
          <w:tcPr>
            <w:tcW w:w="12950" w:type="dxa"/>
            <w:gridSpan w:val="4"/>
          </w:tcPr>
          <w:p w14:paraId="3126C570" w14:textId="40123733" w:rsidR="00916B81" w:rsidRDefault="00916B81" w:rsidP="00916B81">
            <w:pPr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Fig. 3. </w:t>
            </w:r>
            <w:r w:rsidRPr="00916B81">
              <w:rPr>
                <w:lang w:val="en-US"/>
              </w:rPr>
              <w:t>Rate-distortion results for three images,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(1st column)</w:t>
            </w:r>
            <w:r>
              <w:rPr>
                <w:lang w:val="en-US"/>
              </w:rPr>
              <w:t xml:space="preserve"> </w:t>
            </w:r>
            <w:r w:rsidRPr="00916B81">
              <w:rPr>
                <w:i/>
                <w:iCs/>
                <w:lang w:val="en-US"/>
              </w:rPr>
              <w:t>Image801.png</w:t>
            </w:r>
            <w:r w:rsidRPr="00916B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(2nd column)</w:t>
            </w:r>
            <w:r>
              <w:rPr>
                <w:lang w:val="en-US"/>
              </w:rPr>
              <w:t xml:space="preserve"> </w:t>
            </w:r>
            <w:r w:rsidRPr="00916B81">
              <w:rPr>
                <w:i/>
                <w:iCs/>
                <w:lang w:val="en-US"/>
              </w:rPr>
              <w:t>Image821.png</w:t>
            </w:r>
            <w:r w:rsidRPr="00916B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(3rd column)</w:t>
            </w:r>
            <w:r>
              <w:rPr>
                <w:lang w:val="en-US"/>
              </w:rPr>
              <w:t xml:space="preserve"> </w:t>
            </w:r>
            <w:r w:rsidRPr="00916B81">
              <w:rPr>
                <w:i/>
                <w:iCs/>
                <w:lang w:val="en-US"/>
              </w:rPr>
              <w:t>Image849.png</w:t>
            </w:r>
            <w:r w:rsidRPr="00916B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16B81">
              <w:rPr>
                <w:lang w:val="en-US"/>
              </w:rPr>
              <w:t xml:space="preserve">and </w:t>
            </w:r>
            <w:r w:rsidRPr="00916B81">
              <w:rPr>
                <w:b/>
                <w:bCs/>
                <w:lang w:val="en-US"/>
              </w:rPr>
              <w:t>(4th column)</w:t>
            </w:r>
            <w:r>
              <w:rPr>
                <w:lang w:val="en-US"/>
              </w:rPr>
              <w:t xml:space="preserve"> </w:t>
            </w:r>
            <w:r w:rsidRPr="00916B81">
              <w:rPr>
                <w:lang w:val="en-US"/>
              </w:rPr>
              <w:t>over the entire test set, DIV2KvalidHR dataset [24].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(Top)</w:t>
            </w:r>
            <w:r>
              <w:rPr>
                <w:lang w:val="en-US"/>
              </w:rPr>
              <w:t xml:space="preserve"> </w:t>
            </w:r>
            <w:proofErr w:type="spellStart"/>
            <w:r w:rsidRPr="00916B81">
              <w:rPr>
                <w:lang w:val="en-US"/>
              </w:rPr>
              <w:t>bpc</w:t>
            </w:r>
            <w:proofErr w:type="spellEnd"/>
            <w:r w:rsidRPr="00916B81">
              <w:rPr>
                <w:lang w:val="en-US"/>
              </w:rPr>
              <w:t>-vs-PSNR results.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(Bottom)</w:t>
            </w:r>
            <w:r>
              <w:rPr>
                <w:lang w:val="en-US"/>
              </w:rPr>
              <w:t xml:space="preserve"> </w:t>
            </w:r>
            <w:proofErr w:type="spellStart"/>
            <w:r w:rsidRPr="00916B81">
              <w:rPr>
                <w:lang w:val="en-US"/>
              </w:rPr>
              <w:t>bpc</w:t>
            </w:r>
            <w:proofErr w:type="spellEnd"/>
            <w:r w:rsidRPr="00916B81">
              <w:rPr>
                <w:lang w:val="en-US"/>
              </w:rPr>
              <w:t>-vs-SSIM results.</w:t>
            </w:r>
          </w:p>
        </w:tc>
      </w:tr>
    </w:tbl>
    <w:p w14:paraId="2BA38E61" w14:textId="77DD57F2" w:rsidR="00C177A8" w:rsidRDefault="00C177A8" w:rsidP="00C177A8">
      <w:pPr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916B81" w14:paraId="7D58AB7A" w14:textId="77777777" w:rsidTr="00916B81">
        <w:tc>
          <w:tcPr>
            <w:tcW w:w="6475" w:type="dxa"/>
          </w:tcPr>
          <w:p w14:paraId="5BE7390B" w14:textId="63889753" w:rsidR="00916B81" w:rsidRDefault="00916B81" w:rsidP="00C177A8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507A9C" wp14:editId="0D994B0E">
                  <wp:extent cx="3360933" cy="252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933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50844505" w14:textId="2084DB13" w:rsidR="00916B81" w:rsidRDefault="00916B81" w:rsidP="00C177A8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2F8392" wp14:editId="70C4A223">
                  <wp:extent cx="3360933" cy="25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933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B81" w14:paraId="3AFE22FC" w14:textId="77777777" w:rsidTr="00916B81">
        <w:trPr>
          <w:trHeight w:val="547"/>
        </w:trPr>
        <w:tc>
          <w:tcPr>
            <w:tcW w:w="12950" w:type="dxa"/>
            <w:gridSpan w:val="2"/>
          </w:tcPr>
          <w:p w14:paraId="0ECF1FA8" w14:textId="6F05BAFC" w:rsidR="00916B81" w:rsidRDefault="00916B81" w:rsidP="00916B81">
            <w:pPr>
              <w:spacing w:before="240" w:after="240"/>
              <w:jc w:val="center"/>
              <w:rPr>
                <w:lang w:val="en-US"/>
              </w:rPr>
            </w:pPr>
            <w:r w:rsidRPr="00916B81">
              <w:rPr>
                <w:lang w:val="en-US"/>
              </w:rPr>
              <w:t>Fig</w:t>
            </w:r>
            <w:r>
              <w:rPr>
                <w:lang w:val="en-US"/>
              </w:rPr>
              <w:t>.</w:t>
            </w:r>
            <w:r w:rsidRPr="00916B81">
              <w:rPr>
                <w:lang w:val="en-US"/>
              </w:rPr>
              <w:t xml:space="preserve"> 4. </w:t>
            </w:r>
            <w:proofErr w:type="spellStart"/>
            <w:r w:rsidRPr="00916B81">
              <w:rPr>
                <w:lang w:val="en-US"/>
              </w:rPr>
              <w:t>B</w:t>
            </w:r>
            <w:r w:rsidRPr="00916B81">
              <w:rPr>
                <w:lang w:val="en-US"/>
              </w:rPr>
              <w:t>jontegaard</w:t>
            </w:r>
            <w:proofErr w:type="spellEnd"/>
            <w:r w:rsidRPr="00916B81">
              <w:rPr>
                <w:lang w:val="en-US"/>
              </w:rPr>
              <w:t xml:space="preserve"> metrics for every image in the DIV2KvalidHR dataset [24]: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(left)</w:t>
            </w:r>
            <w:r>
              <w:rPr>
                <w:lang w:val="en-US"/>
              </w:rPr>
              <w:t xml:space="preserve"> </w:t>
            </w:r>
            <w:r w:rsidRPr="00916B81">
              <w:rPr>
                <w:lang w:val="en-US"/>
              </w:rPr>
              <w:t>BR-PSNR (dB),</w:t>
            </w:r>
            <w:r>
              <w:rPr>
                <w:lang w:val="en-US"/>
              </w:rPr>
              <w:t xml:space="preserve"> </w:t>
            </w:r>
            <w:r w:rsidRPr="00916B81">
              <w:rPr>
                <w:b/>
                <w:bCs/>
                <w:lang w:val="en-US"/>
              </w:rPr>
              <w:t>(right)</w:t>
            </w:r>
            <w:r>
              <w:rPr>
                <w:lang w:val="en-US"/>
              </w:rPr>
              <w:t xml:space="preserve"> </w:t>
            </w:r>
            <w:r w:rsidRPr="00916B81">
              <w:rPr>
                <w:lang w:val="en-US"/>
              </w:rPr>
              <w:t>BR-Rate (%).</w:t>
            </w:r>
          </w:p>
        </w:tc>
      </w:tr>
    </w:tbl>
    <w:p w14:paraId="0183E9FC" w14:textId="77777777" w:rsidR="00916B81" w:rsidRPr="00C177A8" w:rsidRDefault="00916B81" w:rsidP="00C177A8">
      <w:pPr>
        <w:jc w:val="both"/>
        <w:rPr>
          <w:lang w:val="en-US"/>
        </w:rPr>
      </w:pPr>
    </w:p>
    <w:sectPr w:rsidR="00916B81" w:rsidRPr="00C177A8" w:rsidSect="00C177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E"/>
    <w:rsid w:val="002C1A92"/>
    <w:rsid w:val="007973FE"/>
    <w:rsid w:val="00916B81"/>
    <w:rsid w:val="00BC79DE"/>
    <w:rsid w:val="00C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3AD2"/>
  <w15:chartTrackingRefBased/>
  <w15:docId w15:val="{110AC867-A50B-47C5-8B41-35FA77DE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Schiopu, Ionut</dc:creator>
  <cp:keywords/>
  <dc:description/>
  <cp:lastModifiedBy>Schiopu, Ionut</cp:lastModifiedBy>
  <cp:revision>2</cp:revision>
  <dcterms:created xsi:type="dcterms:W3CDTF">2021-04-20T20:59:00Z</dcterms:created>
  <dcterms:modified xsi:type="dcterms:W3CDTF">2021-04-20T21:19:00Z</dcterms:modified>
</cp:coreProperties>
</file>