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pPr>
    </w:p>
    <w:p>
      <w:pPr>
        <w:spacing w:after="200" w:before="400"/>
        <w:jc w:val="center"/>
      </w:pPr>
      <w:r>
        <w:rPr>
          <w:rFonts w:ascii="Arial" w:hAnsi="Arial"/>
          <w:b/>
          <w:color w:val="1E3A8A"/>
          <w:sz w:val="26"/>
        </w:rPr>
        <w:t>INACAP - INGENIERÍA DE SOFTWARE</w:t>
        <w:br/>
        <w:t>CARRERA DE INGENIERÍA EN INFORMÁTICA</w:t>
      </w:r>
    </w:p>
    <w:p>
      <w:pPr>
        <w:spacing w:after="160" w:before="240"/>
        <w:jc w:val="center"/>
      </w:pPr>
      <w:r>
        <w:rPr>
          <w:rFonts w:ascii="Arial" w:hAnsi="Arial"/>
          <w:b/>
          <w:color w:val="0F172A"/>
          <w:sz w:val="40"/>
        </w:rPr>
        <w:t>INFORME TÉCNICO DE PLANIFICACIÓN Y DISEÑO DE SOFTWARE</w:t>
        <w:br/>
        <w:t>ETAPA 2: SISTEMA DE GESTIÓN DE RESULTADOS (SGR)</w:t>
      </w:r>
    </w:p>
    <w:p>
      <w:pPr>
        <w:spacing w:after="480" w:before="0"/>
        <w:jc w:val="center"/>
      </w:pPr>
      <w:r>
        <w:rPr>
          <w:rFonts w:ascii="Arial" w:hAnsi="Arial"/>
          <w:i/>
          <w:color w:val="64748B"/>
          <w:sz w:val="24"/>
        </w:rPr>
        <w:t>Análisis de Requerimientos, Justificación Metodológica y Arquitectura UML para la Ilustre Municipalidad de La Serena</w:t>
      </w:r>
    </w:p>
    <w:tbl>
      <w:tblPr>
        <w:tblW w:type="auto" w:w="0"/>
        <w:jc w:val="center"/>
        <w:tblLook w:firstColumn="1" w:firstRow="1" w:lastColumn="0" w:lastRow="0" w:noHBand="0" w:noVBand="1" w:val="04A0"/>
      </w:tblPr>
      <w:tblGrid>
        <w:gridCol w:w="9360"/>
      </w:tblGrid>
      <w:tr>
        <w:trPr>
          <w:cantSplit/>
        </w:trPr>
        <w:tc>
          <w:tcPr>
            <w:tcW w:type="dxa" w:w="7920"/>
            <w:shd w:fill="FFF5F5"/>
            <w:tcMar>
              <w:top w:w="140" w:type="dxa"/>
              <w:bottom w:w="140" w:type="dxa"/>
              <w:left w:w="180" w:type="dxa"/>
              <w:right w:w="180" w:type="dxa"/>
            </w:tcMar>
            <w:tcBorders>
              <w:top w:val="single" w:sz="12" w:space="0" w:color="C8102E"/>
              <w:left w:val="single" w:sz="24" w:space="0" w:color="C8102E"/>
              <w:bottom w:val="single" w:sz="12" w:space="0" w:color="C8102E"/>
              <w:right w:val="single" w:sz="12" w:space="0" w:color="C8102E"/>
            </w:tcBorders>
            <w:shd w:fill="F8FAFC"/>
            <w:tcMar>
              <w:top w:w="140" w:type="dxa"/>
              <w:bottom w:w="140" w:type="dxa"/>
              <w:left w:w="180" w:type="dxa"/>
              <w:right w:w="180" w:type="dxa"/>
            </w:tcMar>
          </w:tcPr>
          <w:p>
            <w:pPr>
              <w:spacing w:before="40" w:after="40"/>
              <w:jc w:val="center"/>
            </w:pPr>
            <w:r>
              <w:rPr>
                <w:rFonts w:ascii="Arial" w:hAnsi="Arial"/>
                <w:b/>
                <w:color w:val="1E293B"/>
                <w:sz w:val="19"/>
              </w:rPr>
              <w:t>INTEGRANTES DEL EQUIPO:</w:t>
              <w:br/>
            </w:r>
            <w:r>
              <w:rPr>
                <w:rFonts w:ascii="Arial" w:hAnsi="Arial"/>
                <w:b w:val="0"/>
                <w:color w:val="1E293B"/>
                <w:sz w:val="19"/>
              </w:rPr>
              <w:t>• Álvaro Obregón</w:t>
              <w:br/>
              <w:t>• Emanuel Román</w:t>
              <w:br/>
              <w:t>• Benjamín Antipa</w:t>
              <w:br/>
              <w:br/>
            </w:r>
            <w:r>
              <w:rPr>
                <w:rFonts w:ascii="Arial" w:hAnsi="Arial"/>
                <w:b/>
                <w:color w:val="1E293B"/>
                <w:sz w:val="19"/>
              </w:rPr>
              <w:t xml:space="preserve">ASIGNATURA: </w:t>
            </w:r>
            <w:r>
              <w:rPr>
                <w:rFonts w:ascii="Arial" w:hAnsi="Arial"/>
                <w:b w:val="0"/>
                <w:color w:val="1E293B"/>
                <w:sz w:val="19"/>
              </w:rPr>
              <w:t>Ingeniería de Software (P2026-Jueves)</w:t>
              <w:br/>
            </w:r>
            <w:r>
              <w:rPr>
                <w:rFonts w:ascii="Arial" w:hAnsi="Arial"/>
                <w:b/>
                <w:color w:val="1E293B"/>
                <w:sz w:val="19"/>
              </w:rPr>
              <w:t xml:space="preserve">DOCENTE: </w:t>
            </w:r>
            <w:r>
              <w:rPr>
                <w:rFonts w:ascii="Arial" w:hAnsi="Arial"/>
                <w:b w:val="0"/>
                <w:color w:val="1E293B"/>
                <w:sz w:val="19"/>
              </w:rPr>
              <w:t>Profesor Guía de Proyecto</w:t>
              <w:br/>
            </w:r>
            <w:r>
              <w:rPr>
                <w:rFonts w:ascii="Arial" w:hAnsi="Arial"/>
                <w:b/>
                <w:color w:val="1E293B"/>
                <w:sz w:val="19"/>
              </w:rPr>
              <w:t xml:space="preserve">INSTITUCIÓN: </w:t>
            </w:r>
            <w:r>
              <w:rPr>
                <w:rFonts w:ascii="Arial" w:hAnsi="Arial"/>
                <w:b w:val="0"/>
                <w:color w:val="1E293B"/>
                <w:sz w:val="19"/>
              </w:rPr>
              <w:t>INACAP - Sede La Serena</w:t>
              <w:br/>
            </w:r>
            <w:r>
              <w:rPr>
                <w:rFonts w:ascii="Arial" w:hAnsi="Arial"/>
                <w:b/>
                <w:color w:val="1E293B"/>
                <w:sz w:val="19"/>
              </w:rPr>
              <w:t xml:space="preserve">FECHA DE ENTREGA: </w:t>
            </w:r>
            <w:r>
              <w:rPr>
                <w:rFonts w:ascii="Arial" w:hAnsi="Arial"/>
                <w:b w:val="0"/>
                <w:color w:val="1E293B"/>
                <w:sz w:val="19"/>
              </w:rPr>
              <w:t>Octubre de 2026</w:t>
            </w:r>
          </w:p>
        </w:tc>
      </w:tr>
    </w:tbl>
    <w:p>
      <w:pPr>
        <w:pStyle w:val="Heading1"/>
        <w:keepNext/>
        <w:pageBreakBefore/>
        <w:spacing w:before="360" w:after="120"/>
        <w:jc w:val="left"/>
      </w:pPr>
      <w:r>
        <w:rPr>
          <w:rFonts w:ascii="Arial" w:hAnsi="Arial"/>
          <w:b/>
          <w:color w:val="0F172A"/>
          <w:sz w:val="32"/>
        </w:rPr>
        <w:t>Índice de Contenidos</w:t>
      </w:r>
    </w:p>
    <w:p>
      <w:pPr>
        <w:spacing w:line="276" w:lineRule="auto" w:before="0" w:after="120"/>
        <w:jc w:val="both"/>
      </w:pPr>
      <w:r>
        <w:rPr>
          <w:rFonts w:ascii="Arial" w:hAnsi="Arial"/>
          <w:i/>
          <w:color w:val="1E293B"/>
          <w:sz w:val="22"/>
        </w:rPr>
        <w:t>El siguiente campo de tabla de contenidos se actualizará automáticamente al abrir el documento en Microsoft Word o Word Online:</w:t>
      </w:r>
    </w:p>
    <w:p>
      <w:pPr>
        <w:pStyle w:val="Heading1"/>
        <w:keepNext/>
        <w:pageBreakBefore/>
        <w:spacing w:before="360" w:after="120"/>
        <w:jc w:val="left"/>
      </w:pPr>
      <w:r>
        <w:rPr>
          <w:rFonts w:ascii="Arial" w:hAnsi="Arial"/>
          <w:b/>
          <w:color w:val="0F172A"/>
          <w:sz w:val="32"/>
        </w:rPr>
        <w:t>Glosario de Términos y Siglas Tecnológicas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288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Término / Sigla</w:t>
            </w:r>
          </w:p>
        </w:tc>
        <w:tc>
          <w:tcPr>
            <w:tcW w:type="dxa" w:w="648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Definición Conceptual y Contexto Institucional SGR</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SGR</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Sistema de Gestión de Resultados. Plataforma web orientada al seguimiento, medición y auditoría del cumplimiento de metas operativas en la Municipalidad.</w:t>
            </w:r>
          </w:p>
        </w:tc>
      </w:tr>
      <w:tr>
        <w:trPr>
          <w:cantSplit/>
        </w:trPr>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Código Único de Evidencia</w:t>
            </w:r>
          </w:p>
        </w:tc>
        <w:tc>
          <w:tcPr>
            <w:tcW w:type="dxa" w:w="64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Hash/String alfanumérico generado por algoritmo SHA-256 de forma automática e inmutable que vincula una fotografía adjunta con su actividad y funcionario.</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Semáforo de Cumplimiento</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Algoritmo gráfico de evaluación diaria (Verde &gt;= 85%, Ámbar 60-84%, Rojo &lt; 60%) que pondera avances en base a ítems configurados.</w:t>
            </w:r>
          </w:p>
        </w:tc>
      </w:tr>
      <w:tr>
        <w:trPr>
          <w:cantSplit/>
        </w:trPr>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Delegación</w:t>
            </w:r>
          </w:p>
        </w:tc>
        <w:tc>
          <w:tcPr>
            <w:tcW w:type="dxa" w:w="64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Unidad territorial o administrativa municipal supervisada por un Delegado/Jefatura que agrupa a funcionarios operativos y proyectos.</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Verificador</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Rol operativo encargado de auditar la validez técnica, pertinencia y veracidad de las evidencias fotográficas adjuntas a las actividades.</w:t>
            </w:r>
          </w:p>
        </w:tc>
      </w:tr>
      <w:tr>
        <w:trPr>
          <w:cantSplit/>
        </w:trPr>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Backlog de Producto</w:t>
            </w:r>
          </w:p>
        </w:tc>
        <w:tc>
          <w:tcPr>
            <w:tcW w:type="dxa" w:w="64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Lista priorizada de requerimientos, épicas e historias de usuario que representan las funcionalidades pendientes del sistema SGR.</w:t>
            </w:r>
          </w:p>
        </w:tc>
      </w:tr>
      <w:tr>
        <w:trPr>
          <w:cantSplit/>
        </w:trPr>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Puntos de Historia (SP)</w:t>
            </w:r>
          </w:p>
        </w:tc>
        <w:tc>
          <w:tcPr>
            <w:tcW w:type="dxa" w:w="64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Unidad abstracta de medida utilizada en Scrum para estimar la complejidad relativa, esfuerzo y riesgo de desarrollo de una historia de usuario.</w:t>
            </w:r>
          </w:p>
        </w:tc>
      </w:tr>
    </w:tbl>
    <w:p>
      <w:pPr>
        <w:pStyle w:val="Heading1"/>
        <w:keepNext/>
        <w:pageBreakBefore/>
        <w:spacing w:before="360" w:after="120"/>
        <w:jc w:val="left"/>
      </w:pPr>
      <w:r>
        <w:rPr>
          <w:rFonts w:ascii="Arial" w:hAnsi="Arial"/>
          <w:b/>
          <w:color w:val="0F172A"/>
          <w:sz w:val="32"/>
        </w:rPr>
        <w:t>1. Levantamiento de Requerimientos y Técnicas de Co-creación</w:t>
      </w:r>
    </w:p>
    <w:p>
      <w:pPr>
        <w:spacing w:after="120" w:line="276" w:lineRule="auto" w:before="0"/>
        <w:jc w:val="both"/>
      </w:pPr>
      <w:r>
        <w:rPr>
          <w:rFonts w:ascii="Arial" w:hAnsi="Arial"/>
          <w:color w:val="1E293B"/>
          <w:sz w:val="22"/>
        </w:rPr>
        <w:t>El proceso de levantamiento de información para el desarrollo del Sistema de Gestión de Resultados (SGR) se estructuró mediante un enfoque participativo de co-creación junto a los actores clave de la Ilustre Municipalidad de La Serena. Para garantizar que los requerimientos representen fielmente la operativa en terreno, se emplearon tres técnicas complementarias de captura:</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Técnica Utilizada</w:t>
            </w:r>
          </w:p>
        </w:tc>
        <w:tc>
          <w:tcPr>
            <w:tcW w:type="dxa" w:w="288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Participantes Clave</w:t>
            </w:r>
          </w:p>
        </w:tc>
        <w:tc>
          <w:tcPr>
            <w:tcW w:type="dxa" w:w="388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Objetivo y Producto Obtenido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Entrevistas Enfocadas</w:t>
            </w:r>
          </w:p>
        </w:tc>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Delegados Municipales y Jefaturas de Servicios</w:t>
            </w:r>
          </w:p>
        </w:tc>
        <w:tc>
          <w:tcPr>
            <w:tcW w:type="dxa" w:w="388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Definición del modelo de supervisión territorial, semáforos de avance y necesidades de reportabilidad auditable.</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Talleres de Co-creación (JAD)</w:t>
            </w:r>
          </w:p>
        </w:tc>
        <w:tc>
          <w:tcPr>
            <w:tcW w:type="dxa" w:w="288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Funcionarios Operativos y Verificadores</w:t>
            </w:r>
          </w:p>
        </w:tc>
        <w:tc>
          <w:tcPr>
            <w:tcW w:type="dxa" w:w="388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Modelado conjunto del flujo de captura diaria, adjunción fotográfica y generación del Código Único de Evidencia.</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Análisis Documental</w:t>
            </w:r>
          </w:p>
        </w:tc>
        <w:tc>
          <w:tcPr>
            <w:tcW w:type="dxa" w:w="288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Equipo de Desarrollo e Ingenieros de SW</w:t>
            </w:r>
          </w:p>
        </w:tc>
        <w:tc>
          <w:tcPr>
            <w:tcW w:type="dxa" w:w="388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Revisión de guías de procedimientos internos, matrices de metas históricas e instrumentos de evaluación municipal.</w:t>
            </w:r>
          </w:p>
        </w:tc>
      </w:tr>
    </w:tbl>
    <w:p>
      <w:pPr>
        <w:pStyle w:val="Heading2"/>
        <w:keepNext/>
        <w:spacing w:before="280" w:after="80"/>
        <w:jc w:val="left"/>
      </w:pPr>
      <w:r>
        <w:rPr>
          <w:rFonts w:ascii="Arial" w:hAnsi="Arial"/>
          <w:b/>
          <w:color w:val="1E3A8A"/>
          <w:sz w:val="26"/>
        </w:rPr>
        <w:t>1.1 Matriz de Requerimientos Funcionales (RF)</w:t>
      </w:r>
    </w:p>
    <w:p>
      <w:pPr>
        <w:spacing w:after="120" w:line="276" w:lineRule="auto" w:before="0"/>
        <w:jc w:val="both"/>
      </w:pPr>
      <w:r>
        <w:rPr>
          <w:rFonts w:ascii="Arial" w:hAnsi="Arial"/>
          <w:color w:val="1E293B"/>
          <w:sz w:val="22"/>
        </w:rPr>
        <w:t>Se han especificado 11 Requerimientos Funcionales agrupados en 4 módulos operativos. Cada requerimiento cuenta con su nivel de riesgo, método de verificación técnica y criterio de aceptación:</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1560"/>
        <w:gridCol w:w="1560"/>
        <w:gridCol w:w="1560"/>
        <w:gridCol w:w="1560"/>
        <w:gridCol w:w="1560"/>
        <w:gridCol w:w="1560"/>
      </w:tblGrid>
      <w:tr>
        <w:trPr>
          <w:tblHeader/>
          <w:cantSplit/>
        </w:trPr>
        <w:tc>
          <w:tcPr>
            <w:tcW w:type="dxa" w:w="72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w:t>
            </w:r>
          </w:p>
        </w:tc>
        <w:tc>
          <w:tcPr>
            <w:tcW w:type="dxa" w:w="31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Descripción del Requerimiento Funcional</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Módulo</w:t>
            </w:r>
          </w:p>
        </w:tc>
        <w:tc>
          <w:tcPr>
            <w:tcW w:type="dxa" w:w="86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Riesgo</w:t>
            </w:r>
          </w:p>
        </w:tc>
        <w:tc>
          <w:tcPr>
            <w:tcW w:type="dxa" w:w="115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Verificación</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Criterio de Aceptación</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RF01</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Administrar usuarios, roles, perfiles y asignación a delegaciones.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M1: Configuración</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registrar, actualizar y desactivar funcionarios asignando roles y delegaciones.</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RF02</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Configurar parámetros de medición, períodos y metas ponderadas.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M1: Configuración</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definir metas por cargo y período garantizando que las ponderaciones sumen 100%.</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RF03</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Registrar actividad diaria, acciones, atenciones y servicios realizados.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funcionario guarda registros diarios asociándolos a su ficha y fecha correspondiente.</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RF04</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Adjuntar y almacenar evidencias fotográficas vinculadas a la actividad.</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cargar imágenes JPG/PNG almacenándolas en el repositorio seguro.</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RF05</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Generar código único e inmutable para vinculación de evidencias.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sistema calcula automáticamente una cadena Hash inalterable al subir la foto.</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RF06</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Validar, aprobar o rechazar evidencias con observaciones formales.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Verificador califica la evidencia e ingresa observaciones obligatorias si rechaza.</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RF07</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Crear y registrar compromisos futuros derivados de solicitudes.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M3: Agenda Colectiva</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Ingreso de compromisos con fecha límite, categoría y responsable designado.</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RF08</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Gestionar estados y reasignar responsables de compromisos.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M3: Agenda Colectiva</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Permite transicionar estados (Pendiente/En Proceso/Cumplido) y cambiar encargado.</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RF09</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Consultar ficha personal, cálculo de metas y semáforo diario.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Demostración</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Muestra el porcentaje de avance individual y color del semáforo según umbrales.</w:t>
            </w:r>
          </w:p>
        </w:tc>
      </w:tr>
      <w:tr>
        <w:trPr>
          <w:cantSplit/>
        </w:trPr>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RF10</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Monitorear tablero consolidado de avance por delegación territorial.</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Demostración</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Despliega métricas consolidadas del equipo comparadas contra la meta institucional.</w:t>
            </w:r>
          </w:p>
        </w:tc>
      </w:tr>
      <w:tr>
        <w:trPr>
          <w:cantSplit/>
        </w:trPr>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RF11</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Generar informes consolidados y auditar historial de operaciones.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15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Exportación de reportes PDF/Excel y consulta de registros históricos inmutables.</w:t>
            </w:r>
          </w:p>
        </w:tc>
      </w:tr>
    </w:tbl>
    <w:p>
      <w:pPr>
        <w:pStyle w:val="Heading2"/>
        <w:keepNext/>
        <w:spacing w:before="280" w:after="80"/>
        <w:jc w:val="left"/>
      </w:pPr>
      <w:r>
        <w:rPr>
          <w:rFonts w:ascii="Arial" w:hAnsi="Arial"/>
          <w:b/>
          <w:color w:val="1E3A8A"/>
          <w:sz w:val="26"/>
        </w:rPr>
        <w:t>1.2 Matriz de Requerimientos No Funcionales (RNF)</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cantSplit/>
        </w:trPr>
        <w:tc>
          <w:tcPr>
            <w:tcW w:type="dxa" w:w="86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w:t>
            </w:r>
          </w:p>
        </w:tc>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Categoría / Atributo de Calidad</w:t>
            </w:r>
          </w:p>
        </w:tc>
        <w:tc>
          <w:tcPr>
            <w:tcW w:type="dxa" w:w="374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Descripción del Requerimiento No Funcional</w:t>
            </w:r>
          </w:p>
        </w:tc>
        <w:tc>
          <w:tcPr>
            <w:tcW w:type="dxa" w:w="86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Riesgo</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Método Verificación</w:t>
            </w:r>
          </w:p>
        </w:tc>
      </w:tr>
      <w:tr>
        <w:trPr>
          <w:cantSplit/>
        </w:trPr>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RNF01</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Seguridad y Accesibilidad</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Autenticación obligatoria con control de acceso basado en roles (RBAC) y cifrado TLS 1.3.</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de Penetración</w:t>
            </w:r>
          </w:p>
        </w:tc>
      </w:tr>
      <w:tr>
        <w:trPr>
          <w:cantSplit/>
        </w:trPr>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RNF02</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Rendimiento y Tiempo Respuesta</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Tiempo de carga de dashboards y consultas diarias menor a 2.0 segundos bajo carga normal.</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de Carga</w:t>
            </w:r>
          </w:p>
        </w:tc>
      </w:tr>
      <w:tr>
        <w:trPr>
          <w:cantSplit/>
        </w:trPr>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RNF03</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Inmutabilidad de Datos</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Los registros de evidencia e historial de auditoría no pueden ser eliminados ni alterados.</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Inspección de Código</w:t>
            </w:r>
          </w:p>
        </w:tc>
      </w:tr>
      <w:tr>
        <w:trPr>
          <w:cantSplit/>
        </w:trPr>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RNF04</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Disponibilidad Operativa</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Disponibilidad del sistema del 99.5% en horario hábil municipal (08:00 a 18:00 hrs).</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Alto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Monitoreo Uptime</w:t>
            </w:r>
          </w:p>
        </w:tc>
      </w:tr>
      <w:tr>
        <w:trPr>
          <w:cantSplit/>
        </w:trPr>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RNF05</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Portabilidad y Usabilidad</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Interfaz web 100% responsiva adaptable a dispositivos móviles, tablets y computadores de escritorio.</w:t>
            </w:r>
          </w:p>
        </w:tc>
        <w:tc>
          <w:tcPr>
            <w:tcW w:type="dxa" w:w="86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Multidispositivo</w:t>
            </w:r>
          </w:p>
        </w:tc>
      </w:tr>
      <w:tr>
        <w:trPr>
          <w:cantSplit/>
        </w:trPr>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RNF06</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Capacidad de Almacenamiento</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Soporte optimizado para compresión de evidencias fotográficas manteniendo legibilidad.</w:t>
            </w:r>
          </w:p>
        </w:tc>
        <w:tc>
          <w:tcPr>
            <w:tcW w:type="dxa" w:w="86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Medio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Prueba de Estrés Storage</w:t>
            </w:r>
          </w:p>
        </w:tc>
      </w:tr>
    </w:tbl>
    <w:p>
      <w:pPr>
        <w:pStyle w:val="Heading2"/>
        <w:keepNext/>
        <w:spacing w:before="280" w:after="80"/>
        <w:jc w:val="left"/>
      </w:pPr>
      <w:r>
        <w:rPr>
          <w:rFonts w:ascii="Arial" w:hAnsi="Arial"/>
          <w:b/>
          <w:color w:val="1E3A8A"/>
          <w:sz w:val="26"/>
        </w:rPr>
        <w:t>1.3 Backlog de Épicas e Historias de Usuario (Scrum)</w:t>
      </w:r>
    </w:p>
    <w:p>
      <w:pPr>
        <w:spacing w:after="120" w:line="276" w:lineRule="auto" w:before="0"/>
        <w:jc w:val="both"/>
      </w:pPr>
      <w:r>
        <w:rPr>
          <w:rFonts w:ascii="Arial" w:hAnsi="Arial"/>
          <w:color w:val="1E293B"/>
          <w:sz w:val="22"/>
        </w:rPr>
        <w:t>El Backlog de Producto se organiza en 4 Épicas principales. A continuación se presentan las Historias de Usuario estructuradas bajo el patrón Dado / Cuando / Entonces y estimadas en Puntos de Historia (Story Points):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158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 / Épica</w:t>
            </w:r>
          </w:p>
        </w:tc>
        <w:tc>
          <w:tcPr>
            <w:tcW w:type="dxa" w:w="604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Historia de Usuario (Criterio de Aceptación Gherkin)</w:t>
            </w:r>
          </w:p>
        </w:tc>
        <w:tc>
          <w:tcPr>
            <w:tcW w:type="dxa" w:w="100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Sprint</w:t>
            </w:r>
          </w:p>
        </w:tc>
        <w:tc>
          <w:tcPr>
            <w:tcW w:type="dxa" w:w="72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SP</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HU01</w:t>
              <w:br/>
              <w:t>(Épica Admin)</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Administrador, quiero gestionar funcionarios y delegaciones, para controlar los accesos al SGR.</w:t>
              <w:br/>
              <w:t>• Dado que estoy autenticado como Admin, cuando creo un usuario con ROL y Delegación, entonces se habilita su cuenta en el sistema.</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1</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HU02</w:t>
              <w:br/>
              <w:t>(Épica Admin)</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Coordinador, quiero configurar metas y períodos, para definir los umbrales de medición.</w:t>
              <w:br/>
              <w:t>• Dado que defino un período anual, cuando asigno metas e ítems ponderados (suma 100%), entonces se activan las reglas de cálculo.</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1</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8</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HU03</w:t>
              <w:br/>
              <w:t>(Épica Registro)</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registrar mis actividades diarias, para respaldar mi avance individual.</w:t>
              <w:br/>
              <w:t>• Dado que accedo a mi formulario, cuando ingreso fecha, tipo de atención y descripción, entonces la actividad queda guardada.</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2</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HU04</w:t>
              <w:br/>
              <w:t>(Épica Registro)</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adjuntar fotos a mi registro, para contar con evidencia inmutable.</w:t>
              <w:br/>
              <w:t>• Dado que selecciono una fotografía JPG/PNG, cuando presiono subir, entonces el sistema asigna el Código Único de Evidencia.</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2</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8</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HU05</w:t>
              <w:br/>
              <w:t>(Épica Registro)</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Verificador, quiero revisar y calificar evidencias, para validar su autenticidad.</w:t>
              <w:br/>
              <w:t>• Dado que reviso una foto adjunta, cuando apruebo o rechazo con observación, entonces se actualiza el estado de la validación.</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2</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HU06</w:t>
              <w:br/>
              <w:t>(Épica Agenda)</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registrar compromisos derivados, para programar atenciones futuras.</w:t>
              <w:br/>
              <w:t>• Dado que identifico un requerimiento pendiente, cuando ingreso responsable y fecha límite, entonces se visualiza en la agenda.</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3</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3</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HU07</w:t>
              <w:br/>
              <w:t>(Épica Medición)</w:t>
            </w:r>
          </w:p>
        </w:tc>
        <w:tc>
          <w:tcPr>
            <w:tcW w:type="dxa" w:w="60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Funcionario, quiero consultar mi semáforo de cumplimiento, para verificar mi porcentaje de avance.</w:t>
              <w:br/>
              <w:t>• Dado que abro mi ficha personal, cuando el sistema evalúa mis actividades, entonces calcula el % y muestra el color de semáforo.</w:t>
            </w:r>
          </w:p>
        </w:tc>
        <w:tc>
          <w:tcPr>
            <w:tcW w:type="dxa" w:w="100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3</w:t>
            </w:r>
          </w:p>
        </w:tc>
        <w:tc>
          <w:tcPr>
            <w:tcW w:type="dxa" w:w="72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5</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HU08</w:t>
              <w:br/>
              <w:t>(Épica Medición)</w:t>
            </w:r>
          </w:p>
        </w:tc>
        <w:tc>
          <w:tcPr>
            <w:tcW w:type="dxa" w:w="60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Como Delegado, quiero monitorear el tablero territorial, para evaluar el desempeño de mi equipo.</w:t>
              <w:br/>
              <w:t>• Dado que accedo al Dashboard de la Delegación, cuando selecciono el período, entonces despliega el avance consolidado.</w:t>
            </w:r>
          </w:p>
        </w:tc>
        <w:tc>
          <w:tcPr>
            <w:tcW w:type="dxa" w:w="100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Sprint 3</w:t>
            </w:r>
          </w:p>
        </w:tc>
        <w:tc>
          <w:tcPr>
            <w:tcW w:type="dxa" w:w="72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8</w:t>
            </w:r>
          </w:p>
        </w:tc>
      </w:tr>
    </w:tbl>
    <w:tbl>
      <w:tblPr>
        <w:tblW w:type="auto" w:w="0"/>
        <w:jc w:val="center"/>
        <w:tblLayout w:type="fixed"/>
        <w:tblLook w:firstColumn="1" w:firstRow="1" w:lastColumn="0" w:lastRow="0" w:noHBand="0" w:noVBand="1" w:val="04A0"/>
      </w:tblPr>
      <w:tblGrid>
        <w:gridCol w:w="9360"/>
      </w:tblGrid>
      <w:tr>
        <w:trPr>
          <w:tblHeader/>
          <w:cantSplit/>
        </w:trPr>
        <w:tc>
          <w:tcPr>
            <w:tcW w:type="dxa" w:w="9360"/>
            <w:shd w:fill="FFF5F5"/>
            <w:tcMar>
              <w:top w:w="140" w:type="dxa"/>
              <w:bottom w:w="140" w:type="dxa"/>
              <w:left w:w="200" w:type="dxa"/>
              <w:right w:w="200" w:type="dxa"/>
            </w:tcMar>
            <w:tcBorders>
              <w:top w:val="none"/>
              <w:left w:val="single" w:sz="24" w:space="0" w:color="C8102E"/>
              <w:bottom w:val="none"/>
              <w:right w:val="none"/>
            </w:tcBorders>
            <w:shd w:fill="1E293B"/>
            <w:tcMar>
              <w:top w:w="120" w:type="dxa"/>
              <w:bottom w:w="120" w:type="dxa"/>
              <w:left w:w="140" w:type="dxa"/>
              <w:right w:w="140" w:type="dxa"/>
            </w:tcMar>
            <w:vAlign w:val="center"/>
          </w:tcPr>
          <w:p>
            <w:pPr>
              <w:spacing w:before="0" w:after="0"/>
              <w:jc w:val="left"/>
            </w:pPr>
            <w:r>
              <w:rPr>
                <w:rFonts w:ascii="Arial" w:hAnsi="Arial"/>
                <w:b/>
                <w:color w:val="FFFFFF"/>
                <w:sz w:val="19"/>
              </w:rPr>
              <w:t xml:space="preserve">TRAZABILIDAD DEL BACKLOG: </w:t>
            </w:r>
            <w:r>
              <w:rPr>
                <w:rFonts w:ascii="Arial" w:hAnsi="Arial"/>
                <w:b/>
                <w:color w:val="FFFFFF"/>
                <w:sz w:val="19"/>
              </w:rPr>
              <w:t>Todas las Historias de Usuario fueron validadas y priorizadas en conjunto con la contraparte municipal, asegurando que las funcionalidades de alto riesgo (como la generación del Código Único y el cálculo del Semáforo) se aborden en los primeros Sprints.</w:t>
            </w:r>
          </w:p>
        </w:tc>
      </w:tr>
    </w:tbl>
    <w:p>
      <w:pPr>
        <w:pStyle w:val="Heading1"/>
        <w:keepNext/>
        <w:pageBreakBefore/>
        <w:spacing w:before="360" w:after="120"/>
        <w:jc w:val="left"/>
      </w:pPr>
      <w:r>
        <w:rPr>
          <w:rFonts w:ascii="Arial" w:hAnsi="Arial"/>
          <w:b/>
          <w:color w:val="0F172A"/>
          <w:sz w:val="32"/>
        </w:rPr>
        <w:t>2. Selección y Justificación Metodológica</w:t>
      </w:r>
    </w:p>
    <w:p>
      <w:pPr>
        <w:pStyle w:val="Heading2"/>
        <w:keepNext/>
        <w:spacing w:before="280" w:after="80"/>
        <w:jc w:val="left"/>
      </w:pPr>
      <w:r>
        <w:rPr>
          <w:rFonts w:ascii="Arial" w:hAnsi="Arial"/>
          <w:b/>
          <w:color w:val="1E3A8A"/>
          <w:sz w:val="26"/>
        </w:rPr>
        <w:t>2.1 Análisis Comparativo de Metodologías de Desarrollo</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Criterio de Evaluación</w:t>
            </w:r>
          </w:p>
        </w:tc>
        <w:tc>
          <w:tcPr>
            <w:tcW w:type="dxa" w:w="360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Modelo Cascada / Incremental</w:t>
            </w:r>
          </w:p>
        </w:tc>
        <w:tc>
          <w:tcPr>
            <w:tcW w:type="dxa" w:w="360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Metodología Ágil Híbrida Adaptada (Scrum + Kanban / Tubo) — SELECCIONADA</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Gestión del Cambio</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Rígida. El cambio de requisitos en etapas avanzadas genera altos costos de reescritura.</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Alta flexibilidad con inspección continua por hitos de entrega (Scrum), combinada con flujo continuo reactivo (Kanban) para atender urgencias territoriales sin bloquear iteraciones.</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Entregas de Software</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Única entrega final al concluir la fase de pruebas integrales.</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Entregas incrementales de software funcional en vivo desplegado en la nube (AWS EC2) al término de cada hito, con verificación inmediata en base de datos real MySQL.</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Involucramiento Cliente</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Limitado a las fases iniciales de toma de requerimientos y aceptación final.</w:t>
            </w:r>
          </w:p>
        </w:tc>
        <w:tc>
          <w:tcPr>
            <w:tcW w:type="dxa" w:w="360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Validación periódica con la contraparte municipal y revisiones formales ante la docente guía, sustituyendo ceremonias teóricas por demostraciones tangibles del sistema.</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Mitigación de Riesgos</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Riesgo elevado de desalineación hasta la fase final de integración.</w:t>
            </w:r>
          </w:p>
        </w:tc>
        <w:tc>
          <w:tcPr>
            <w:tcW w:type="dxa" w:w="360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Mitigación temprana al implementar primero los componentes críticos (hash de evidencias, unificación de formularios y tablero Kanban del Tubo de Trabajo), evitando sorpresas al cierre.</w:t>
            </w:r>
          </w:p>
        </w:tc>
      </w:tr>
    </w:tbl>
    <w:p>
      <w:pPr>
        <w:pStyle w:val="Heading2"/>
        <w:keepNext/>
        <w:spacing w:before="280" w:after="80"/>
        <w:jc w:val="left"/>
      </w:pPr>
      <w:r>
        <w:rPr>
          <w:rFonts w:ascii="Arial" w:hAnsi="Arial"/>
          <w:b/>
          <w:color w:val="1E3A8A"/>
          <w:sz w:val="26"/>
        </w:rPr>
        <w:t>2.2 Fundamentación Técnica del Enfoque Metodológico Híbrido y Adaptado (Scrum Pragmático + Kanban / Tubo de Trabajo)</w:t>
      </w:r>
    </w:p>
    <w:p>
      <w:pPr>
        <w:spacing w:after="120" w:line="276" w:lineRule="auto" w:before="0"/>
        <w:jc w:val="both"/>
      </w:pPr>
      <w:r>
        <w:rPr>
          <w:rFonts w:ascii="Arial" w:hAnsi="Arial"/>
          <w:color w:val="1E293B"/>
          <w:sz w:val="22"/>
        </w:rPr>
        <w:t>Para el desarrollo del Sistema de Gestión de Resultados (SGR), el equipo descartó la adopción de un marco metodológico rígido 'de manual' y optó por un enfoque ágil híbrido y adaptado a la realidad operativa del proyecto, integrando de forma selectiva y justificada las prácticas de Scrum, Kanban y el Desarrollo Incremental que aportaban verdadero valor técnico al contexto municipal:</w:t>
        <w:br/>
        <w:br/>
        <w:t>1. Prácticas Adoptadas de Scrum:</w:t>
        <w:br/>
        <w:t>• Backlog de Producto Priorizado: Se estructuraron los requerimientos en Historias de Usuario bajo la sintaxis formal Dado/Cuando/Entonces, asignando Puntos de Historia (Story Points) para planificar la complejidad.</w:t>
        <w:br/>
        <w:t>• Sprints por Hitos de Entrega: El avance se organizó en iteraciones de 2 a 3 semanas orientadas a entregables funcionales evaluables para revisión técnica (Sprint Reviews ante la docente guía).</w:t>
        <w:br/>
        <w:br/>
        <w:t>2. Prácticas No Forzadas de Scrum (Adaptación Realista):</w:t>
        <w:br/>
        <w:t>• Se prescindió intencionadamente de las reuniones diarias sincrónicas obligatorias (Daily Stand-ups presenciales de 15 minutos a hora fija), debido a que en la práctica académica y de desarrollo distribuido la coordinación diaria a primera hora resultaba inviable y burocrática por la dispersión horaria de los integrantes. En su lugar, el equipo implementó una sincronización asíncrona continua a través de canales de mensajería técnica y registro de commits en GitHub, complementada con sesiones de trabajo colaborativo presencial y remoto 2 a 3 veces por semana.</w:t>
        <w:br/>
        <w:br/>
        <w:t>3. Prácticas Adoptadas de Kanban (El Método del Tubo de Trabajo):</w:t>
        <w:br/>
        <w:t>• Flujo Continuo y Limitación del Trabajo en Progreso (WIP): Se adoptó el principio de flujo continuo para evitar cuellos de botella. Este concepto fue tan trascendente que no solo se utilizó internamente para organizar el avance del equipo, sino que se trasladó directamente al diseño del software en el módulo del 'Tubo de Trabajo' (/agenda/resumen/), permitiendo que los compromisos vecinales que requieren coordinación interdepartamental se gestionen mediante un tablero Kanban visual de 4 estados secuenciales (Ingresado ➜ Pendiente ➜ En Proceso ➜ Realizado) sin amarrarse a ciclos cerrados.</w:t>
        <w:br/>
        <w:br/>
        <w:t>4. Desarrollo Incremental y Prototipado Rápido en la Nube:</w:t>
        <w:br/>
        <w:t>• Despliegue continuo temprano sobre la infraestructura real en la nube (AWS EC2 Ubuntu 24.04 LTS en http://3.229.11.31/), probando directamente con una base de datos MySQL real y recopilando retroalimentación inmediata, lo que permitió aplicar mejoras arquitectónicas clave (como la unificación del formulario central de gestiones) de forma ágil y oportuna.</w:t>
      </w:r>
    </w:p>
    <w:p>
      <w:pPr>
        <w:pStyle w:val="Heading2"/>
        <w:keepNext/>
        <w:spacing w:before="280" w:after="80"/>
        <w:jc w:val="left"/>
      </w:pPr>
      <w:r>
        <w:rPr>
          <w:rFonts w:ascii="Arial" w:hAnsi="Arial"/>
          <w:b/>
          <w:color w:val="1E3A8A"/>
          <w:sz w:val="26"/>
        </w:rPr>
        <w:t>2.3 Estimación de Recursos Humanos y Matriz RACI</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Rol del Proyecto</w:t>
            </w:r>
          </w:p>
        </w:tc>
        <w:tc>
          <w:tcPr>
            <w:tcW w:type="dxa" w:w="2016"/>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Integrante / Recurso</w:t>
            </w:r>
          </w:p>
        </w:tc>
        <w:tc>
          <w:tcPr>
            <w:tcW w:type="dxa" w:w="374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Entregables y Responsabilidad Principal</w:t>
            </w:r>
          </w:p>
        </w:tc>
        <w:tc>
          <w:tcPr>
            <w:tcW w:type="dxa" w:w="144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Matriz RACI</w:t>
            </w:r>
          </w:p>
        </w:tc>
      </w:tr>
      <w:tr>
        <w:trPr>
          <w:cantSplit/>
        </w:trPr>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Scrum Master / Lead Engineer</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Álvaro Obregón</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Facilitación del proceso, arquitectura UML, despliegue y control de calidad.</w:t>
            </w:r>
          </w:p>
        </w:tc>
        <w:tc>
          <w:tcPr>
            <w:tcW w:type="dxa" w:w="144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 (Responsable) / A (Aprobador)</w:t>
            </w:r>
          </w:p>
        </w:tc>
      </w:tr>
      <w:tr>
        <w:trPr>
          <w:cantSplit/>
        </w:trPr>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Product Owner / Analyst</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Emanuel Román</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Gestión del Backlog, toma de requerimientos, diseño UI y validación municipal.</w:t>
            </w:r>
          </w:p>
        </w:tc>
        <w:tc>
          <w:tcPr>
            <w:tcW w:type="dxa" w:w="144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 (Aprobador) / C (Consultado)</w:t>
            </w:r>
          </w:p>
        </w:tc>
      </w:tr>
      <w:tr>
        <w:trPr>
          <w:cantSplit/>
        </w:trPr>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Full-Stack Developer</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Benjamín Antipa</w:t>
            </w:r>
          </w:p>
        </w:tc>
        <w:tc>
          <w:tcPr>
            <w:tcW w:type="dxa" w:w="374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Desarrollo Backend/Frontend, motor de reglas, base de datos y algoritmos.</w:t>
            </w:r>
          </w:p>
        </w:tc>
        <w:tc>
          <w:tcPr>
            <w:tcW w:type="dxa" w:w="144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 (Responsable) / I (Informado)</w:t>
            </w:r>
          </w:p>
        </w:tc>
      </w:tr>
      <w:tr>
        <w:trPr>
          <w:cantSplit/>
        </w:trPr>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Sponsor Municipal</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Jefatura de Informática La Serena</w:t>
            </w:r>
          </w:p>
        </w:tc>
        <w:tc>
          <w:tcPr>
            <w:tcW w:type="dxa" w:w="374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Validación final, disponibilidad de infraestructura y pruebas de aceptación.</w:t>
            </w:r>
          </w:p>
        </w:tc>
        <w:tc>
          <w:tcPr>
            <w:tcW w:type="dxa" w:w="144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 (Consultado) / I (Informado)</w:t>
            </w:r>
          </w:p>
        </w:tc>
      </w:tr>
    </w:tbl>
    <w:p>
      <w:pPr>
        <w:pStyle w:val="Heading2"/>
        <w:keepNext/>
        <w:spacing w:before="280" w:after="80"/>
        <w:jc w:val="left"/>
      </w:pPr>
      <w:r>
        <w:rPr>
          <w:rFonts w:ascii="Arial" w:hAnsi="Arial"/>
          <w:b/>
          <w:color w:val="1E3A8A"/>
          <w:sz w:val="26"/>
        </w:rPr>
        <w:t>2.4 Estimación de Recursos de Hardware y Software</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Categoría</w:t>
            </w:r>
          </w:p>
        </w:tc>
        <w:tc>
          <w:tcPr>
            <w:tcW w:type="dxa" w:w="2592"/>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Recurso / Herramienta</w:t>
            </w:r>
          </w:p>
        </w:tc>
        <w:tc>
          <w:tcPr>
            <w:tcW w:type="dxa" w:w="4608"/>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Especificación Técnica y Propósito</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Software / Lenguajes</w:t>
            </w:r>
          </w:p>
        </w:tc>
        <w:tc>
          <w:tcPr>
            <w:tcW w:type="dxa" w:w="259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Python 3.12+ / Django 5.x / 6.x</w:t>
            </w:r>
          </w:p>
        </w:tc>
        <w:tc>
          <w:tcPr>
            <w:tcW w:type="dxa" w:w="460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Stack Backend con arquitectura MVT (Model-View-Template), API REST para catálogos en cascada, JavaScript ES6+, HTML5 semántico y CSS3 corporativo La Serena (#AD0000).</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b/>
                <w:color w:val="1E3A8A"/>
                <w:sz w:val="18"/>
              </w:rPr>
              <w:t>Base de Datos</w:t>
            </w:r>
          </w:p>
        </w:tc>
        <w:tc>
          <w:tcPr>
            <w:tcW w:type="dxa" w:w="259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MySQL 8.0 (InnoDB)</w:t>
            </w:r>
          </w:p>
        </w:tc>
        <w:tc>
          <w:tcPr>
            <w:tcW w:type="dxa" w:w="460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Sistema gestor de base de datos relacional en servidor con soporte ACID, integridad referencial y claves foráneas bidireccionales entre Gestiones y Tubo de Trabajo.</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Hardware Servidor (Cloud)</w:t>
            </w:r>
          </w:p>
        </w:tc>
        <w:tc>
          <w:tcPr>
            <w:tcW w:type="dxa" w:w="259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Instancia AWS EC2 Ubuntu 24.04 LTS (3.229.11.31)</w:t>
            </w:r>
          </w:p>
        </w:tc>
        <w:tc>
          <w:tcPr>
            <w:tcW w:type="dxa" w:w="460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Servidor en nube pública con servidor web Apache2 como Proxy Inverso en puerto 80, demonio systemd (sgr-django.service en puerto 8000) y 2 GB de memoria SWAP activa.</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Custodia de Evidencias</w:t>
            </w:r>
          </w:p>
        </w:tc>
        <w:tc>
          <w:tcPr>
            <w:tcW w:type="dxa" w:w="259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Almacenamiento Local Seguro en Servidor</w:t>
            </w:r>
          </w:p>
        </w:tc>
        <w:tc>
          <w:tcPr>
            <w:tcW w:type="dxa" w:w="460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Repositorio protegido con permisos estrictos de lectura/escritura y generación algorítmica de folios únicos inmutables (EVI-YYYYMMDD-XXXX).</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Herramientas de Diseño</w:t>
            </w:r>
          </w:p>
        </w:tc>
        <w:tc>
          <w:tcPr>
            <w:tcW w:type="dxa" w:w="259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Draw.io / StarUML / Wireframe Interactivo HTML5</w:t>
            </w:r>
          </w:p>
        </w:tc>
        <w:tc>
          <w:tcPr>
            <w:tcW w:type="dxa" w:w="460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Elaboración de diagramas de casos de uso, clases, componentes, despliegue y blueprint interactivo para evaluación docente.</w:t>
            </w:r>
          </w:p>
        </w:tc>
      </w:tr>
    </w:tbl>
    <w:p>
      <w:pPr>
        <w:pStyle w:val="Heading1"/>
        <w:keepNext/>
        <w:pageBreakBefore/>
        <w:spacing w:before="360" w:after="120"/>
        <w:jc w:val="left"/>
      </w:pPr>
      <w:r>
        <w:rPr>
          <w:rFonts w:ascii="Arial" w:hAnsi="Arial"/>
          <w:b/>
          <w:color w:val="0F172A"/>
          <w:sz w:val="32"/>
        </w:rPr>
        <w:t>3. Propuesta de Diseño UML y Prototipado Front-End</w:t>
      </w:r>
    </w:p>
    <w:p>
      <w:pPr>
        <w:pStyle w:val="Heading2"/>
        <w:keepNext/>
        <w:spacing w:before="280" w:after="80"/>
        <w:jc w:val="left"/>
      </w:pPr>
      <w:r>
        <w:rPr>
          <w:rFonts w:ascii="Arial" w:hAnsi="Arial"/>
          <w:b/>
          <w:color w:val="1E3A8A"/>
          <w:sz w:val="26"/>
        </w:rPr>
        <w:t>3.1 Diagrama de Casos de Uso General (Caso_Uso.drawio.png)</w:t>
      </w:r>
    </w:p>
    <w:p>
      <w:pPr>
        <w:spacing w:after="120" w:line="276" w:lineRule="auto" w:before="0"/>
        <w:jc w:val="both"/>
      </w:pPr>
      <w:r>
        <w:rPr>
          <w:rFonts w:ascii="Arial" w:hAnsi="Arial"/>
          <w:color w:val="1E293B"/>
          <w:sz w:val="22"/>
        </w:rPr>
        <w:t>El Diagrama de Casos de Uso General modela los límites del sistema SGR y las interacciones entre los 6 actores identificados (Administrador, Coordinador, Funcionario, Verificador, Delegado y Usuario de Consulta) con los 11 Casos de Uso distribuidos en los 4 módulos funcionales: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Módulo del Sistema</w:t>
            </w:r>
          </w:p>
        </w:tc>
        <w:tc>
          <w:tcPr>
            <w:tcW w:type="dxa" w:w="31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ID y Nombre del Caso de Uso</w:t>
            </w:r>
          </w:p>
        </w:tc>
        <w:tc>
          <w:tcPr>
            <w:tcW w:type="dxa" w:w="187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Actores Principales</w:t>
            </w:r>
          </w:p>
        </w:tc>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Relaciones de Inclusión / Extensión</w:t>
            </w:r>
          </w:p>
        </w:tc>
      </w:tr>
      <w:tr>
        <w:trPr>
          <w:cantSplit/>
        </w:trPr>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M1: Configuración</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CU01: Administrar Usuarios y Delegaciones</w:t>
              <w:br/>
              <w:t>CU02: Configurar Parámetros y Metas</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Administrador</w:t>
              <w:br/>
              <w:t>Coordinador del Sistema</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«include» Autenticación</w:t>
              <w:br/>
              <w:t>«extend» Alerta duplicados</w:t>
            </w:r>
          </w:p>
        </w:tc>
      </w:tr>
      <w:tr>
        <w:trPr>
          <w:cantSplit/>
        </w:trPr>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M2: Registro Operativo</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CU03: Registrar Actividad Diaria</w:t>
              <w:br/>
              <w:t>CU04: Adjuntar Evidencia Fotográfica</w:t>
              <w:br/>
              <w:t>CU05: Validar Evidencia de Actividad</w:t>
              <w:br/>
              <w:t>CU11: Generar Código Único Evidencia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w:t>
              <w:br/>
              <w:t>Verificador</w:t>
              <w:br/>
              <w:t>Sistema (en CU11)</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«include» CU11 en CU04</w:t>
              <w:br/>
              <w:t>«extend» Notificación rechazo en CU05</w:t>
            </w:r>
          </w:p>
        </w:tc>
      </w:tr>
      <w:tr>
        <w:trPr>
          <w:cantSplit/>
        </w:trPr>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M3: Agenda Colectiva</w:t>
            </w:r>
          </w:p>
        </w:tc>
        <w:tc>
          <w:tcPr>
            <w:tcW w:type="dxa" w:w="31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CU06: Registrar Compromisos</w:t>
              <w:br/>
              <w:t>CU07: Gestionar Estados y Reasignar</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w:t>
              <w:br/>
              <w:t>Delegado / Jefatura</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«extend» Justificación de cambio en CU07</w:t>
            </w:r>
          </w:p>
        </w:tc>
      </w:tr>
      <w:tr>
        <w:trPr>
          <w:cantSplit/>
        </w:trPr>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M4: Medición y Reportes</w:t>
            </w:r>
          </w:p>
        </w:tc>
        <w:tc>
          <w:tcPr>
            <w:tcW w:type="dxa" w:w="31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CU08: Consultar Ficha Personal y Semáforo</w:t>
              <w:br/>
              <w:t>CU09: Monitorear Tablero Delegación</w:t>
              <w:br/>
              <w:t>CU10: Generar Informes y Auditoría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Delegado,</w:t>
              <w:br/>
              <w:t>Usuario Consulta</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«include» Cálculo en CU08/CU09</w:t>
              <w:br/>
              <w:t>«include» Registro Auditoría en CU10</w:t>
            </w:r>
          </w:p>
        </w:tc>
      </w:tr>
    </w:tbl>
    <w:p>
      <w:pPr>
        <w:pStyle w:val="Heading2"/>
        <w:keepNext/>
        <w:spacing w:before="280" w:after="80"/>
        <w:jc w:val="left"/>
      </w:pPr>
      <w:r>
        <w:rPr>
          <w:rFonts w:ascii="Arial" w:hAnsi="Arial"/>
          <w:b/>
          <w:color w:val="1E3A8A"/>
          <w:sz w:val="26"/>
        </w:rPr>
        <w:t>3.2 Especificación Detallada de Casos de Uso Clave</w:t>
      </w:r>
    </w:p>
    <w:p>
      <w:pPr>
        <w:pStyle w:val="Heading3"/>
        <w:keepNext/>
        <w:spacing w:before="200" w:after="60"/>
        <w:jc w:val="left"/>
      </w:pPr>
      <w:r>
        <w:rPr>
          <w:rFonts w:ascii="Arial" w:hAnsi="Arial"/>
          <w:b/>
          <w:color w:val="334155"/>
          <w:sz w:val="22"/>
        </w:rPr>
        <w:t>Especificación Estandarizada: CU03 - Registrar Actividad Diaria</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Campo Específico</w:t>
            </w:r>
          </w:p>
        </w:tc>
        <w:tc>
          <w:tcPr>
            <w:tcW w:type="dxa" w:w="67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Detalle Operativo del Caso de Uso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Nombre del Caso de Uso</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CU03: Registrar Actividad Diaria (CU03Detallado.drawio.png)</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Actor Principal</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Municipal Operativo.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Precondiciones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El funcionario se encuentra autenticado en la plataforma web SGR.</w:t>
              <w:br/>
              <w:t>2. Existe un período de medición activo y configurado en el sistema.</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 Principal (Exitoso)</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El funcionario accede al módulo 'Registro Diario'.</w:t>
              <w:br/>
              <w:t>2. El sistema despliega el formulario preclasificado por tipo de atención.</w:t>
              <w:br/>
              <w:t>3. El usuario ingresa la fecha, descripción, cantidad de atenciones y servicios brindados.</w:t>
              <w:br/>
              <w:t>4. El usuario opcionalmente presiona 'Adjuntar Evidencia' (invoca CU04).</w:t>
              <w:br/>
              <w:t>5. El sistema valida la integridad de los datos e ingresa el registro en la BD.</w:t>
              <w:br/>
              <w:t>6. El sistema confirma la operación y actualiza la ficha del funcionario.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Flujos Alternativos / Excepciones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A1. Datos incompletos: Si faltan campos obligatorios, el sistema despliega una alerta de validación y mantiene el formulario habilitado.</w:t>
              <w:br/>
              <w:t>A2. Conexión interrumpida: El sistema almacena temporalmente en el caché local del navegador (Local Storage) hasta restablecer red.</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Postcondiciones</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La actividad queda registrada con estado 'Pendiente de Validación' y se vincula a las métricas del período vigentes.</w:t>
            </w:r>
          </w:p>
        </w:tc>
      </w:tr>
    </w:tbl>
    <w:p>
      <w:pPr>
        <w:pStyle w:val="Heading3"/>
        <w:keepNext/>
        <w:spacing w:before="200" w:after="60"/>
        <w:jc w:val="left"/>
      </w:pPr>
      <w:r>
        <w:rPr>
          <w:rFonts w:ascii="Arial" w:hAnsi="Arial"/>
          <w:b/>
          <w:color w:val="334155"/>
          <w:sz w:val="22"/>
        </w:rPr>
        <w:t>Especificación Estandarizada: CU04 - Adjuntar Evidencia Fotográfica</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4680"/>
        <w:gridCol w:w="4680"/>
      </w:tblGrid>
      <w:tr>
        <w:trPr>
          <w:tblHeader/>
          <w:cantSplit/>
        </w:trPr>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Campo Específico</w:t>
            </w:r>
          </w:p>
        </w:tc>
        <w:tc>
          <w:tcPr>
            <w:tcW w:type="dxa" w:w="676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Detalle Operativo del Caso de Uso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Nombre del Caso de Uso</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CU04: Adjuntar Evidencia Fotográfica (CU04Detallado.drawio.png)</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Actor Principal</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Municipal / Sistema (proceso automatizado).</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Precondiciones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El funcionario se encuentra en proceso de creación o edición de una actividad (CU03).</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 Principal (Exitoso)</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El usuario selecciona la opción 'Subir Fotografía' y carga un archivo (JPG/PNG).</w:t>
              <w:br/>
              <w:t>2. El sistema invoca automáticamente el CU11 (Generar Código Único de Evidencia).</w:t>
              <w:br/>
              <w:t>3. El sistema procesa la imagen, calcula el Hash inmutable y guarda el archivo en el almacenamiento seguro.</w:t>
              <w:br/>
              <w:t>4. El sistema asocia el código generado a la actividad y muestra una vista previa confirmatoria.</w:t>
            </w:r>
          </w:p>
        </w:tc>
      </w:tr>
      <w:tr>
        <w:trPr>
          <w:cantSplit/>
        </w:trPr>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Flujos Alternativos / Excepciones</w:t>
            </w:r>
          </w:p>
        </w:tc>
        <w:tc>
          <w:tcPr>
            <w:tcW w:type="dxa" w:w="676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A1. Formato o tamaño no válido: El archivo supera los 10MB o no es formato gráfico. El sistema muestra mensaje de error y rechaza la carga.</w:t>
            </w:r>
          </w:p>
        </w:tc>
      </w:tr>
      <w:tr>
        <w:trPr>
          <w:cantSplit/>
        </w:trPr>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Postcondiciones</w:t>
            </w:r>
          </w:p>
        </w:tc>
        <w:tc>
          <w:tcPr>
            <w:tcW w:type="dxa" w:w="676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La evidencia fotográfica queda custodiada de forma inalterable y disponible para el Verificador.</w:t>
            </w:r>
          </w:p>
        </w:tc>
      </w:tr>
    </w:tbl>
    <w:p>
      <w:pPr>
        <w:pStyle w:val="Heading2"/>
        <w:keepNext/>
        <w:spacing w:before="280" w:after="80"/>
        <w:jc w:val="left"/>
      </w:pPr>
      <w:r>
        <w:rPr>
          <w:rFonts w:ascii="Arial" w:hAnsi="Arial"/>
          <w:b/>
          <w:color w:val="1E3A8A"/>
          <w:sz w:val="26"/>
        </w:rPr>
        <w:t>3.3 Diagrama de Clases de Dominio (Clase.drawio.png)</w:t>
      </w:r>
    </w:p>
    <w:p>
      <w:pPr>
        <w:spacing w:after="120" w:line="276" w:lineRule="auto" w:before="0"/>
        <w:jc w:val="both"/>
      </w:pPr>
      <w:r>
        <w:rPr>
          <w:rFonts w:ascii="Arial" w:hAnsi="Arial"/>
          <w:color w:val="1E293B"/>
          <w:sz w:val="22"/>
        </w:rPr>
        <w:t>El Modelo de Clases representa la estructura estática del sistema. Consta de 11 entidades fuertemente asociadas: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rPr>
          <w:tblHeader/>
          <w:cantSplit/>
        </w:trPr>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Clase de Dominio</w:t>
            </w:r>
          </w:p>
        </w:tc>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Atributos Principales</w:t>
            </w:r>
          </w:p>
        </w:tc>
        <w:tc>
          <w:tcPr>
            <w:tcW w:type="dxa" w:w="244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Métodos y Operaciones</w:t>
            </w:r>
          </w:p>
        </w:tc>
        <w:tc>
          <w:tcPr>
            <w:tcW w:type="dxa" w:w="259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Relaciones y Multiplicidades</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Funcionario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idFuncionario, rut, nombre, email, rol, estado</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login(), cambiarRol(), consultarFicha()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Actividad; N a 1 con Delegación</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Delegacion</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idDelegacion, nombre, comuna, zona</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obtenerResumen(), listarIntegrantes()</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Funcionario; 1 a N con Indicador</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Periodo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idPeriodo, anio, mes, fechaInicio, fechaFin, activo</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activarPeriodo(), esVigente()</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Meta</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Cargo</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idCargo, nombreCargo, nivel</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asignarMeta()</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Funcionario</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Meta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idMeta, descripcion, ponderacion, valorObjetivo</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evaluarCumplimiento(), validarSuma()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 a 1 con Periodo; N a 1 con Cargo</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Actividad</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idActividad, fecha, atenciones, estadoValidacion</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registrar(), asociarEvidencia()</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N con Evidencia; N a 1 con Funcionario</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Evidencia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idEvidencia, rutaArchivo, codigoUnico, fechaCarga</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generarCodigo(), verificarHash()</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 a 1 con Actividad; 1 a 1 con Validación</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Validacion</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idValidacion, fechaValidacion, estado, observacion</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aprobar(), rechazar()</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1 con Evidencia; N a 1 con Verificador</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Compromiso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idCompromiso, fechaLimite, estado, detalle</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reasignar(), cambiarEstado()</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N a 1 con Funcionario (Responsable)</w:t>
            </w:r>
          </w:p>
        </w:tc>
      </w:tr>
      <w:tr>
        <w:trPr>
          <w:cantSplit/>
        </w:trPr>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Indicador</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idIndicador, porcentajeAvance, colorSemaforo</w:t>
            </w:r>
          </w:p>
        </w:tc>
        <w:tc>
          <w:tcPr>
            <w:tcW w:type="dxa" w:w="244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calcularSemaforo(), obtenerColor()</w:t>
            </w:r>
          </w:p>
        </w:tc>
        <w:tc>
          <w:tcPr>
            <w:tcW w:type="dxa" w:w="259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1 a 1 con Ficha de Funcionario/Delegación</w:t>
            </w:r>
          </w:p>
        </w:tc>
      </w:tr>
      <w:tr>
        <w:trPr>
          <w:cantSplit/>
        </w:trPr>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Auditoria</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idAuditoria, fechaHora, operacion, usuario, ip</w:t>
            </w:r>
          </w:p>
        </w:tc>
        <w:tc>
          <w:tcPr>
            <w:tcW w:type="dxa" w:w="244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registrarEvento(), exportarLog()</w:t>
            </w:r>
          </w:p>
        </w:tc>
        <w:tc>
          <w:tcPr>
            <w:tcW w:type="dxa" w:w="259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Asociada de forma transversal a las transacciones</w:t>
            </w:r>
          </w:p>
        </w:tc>
      </w:tr>
    </w:tbl>
    <w:p>
      <w:pPr>
        <w:pStyle w:val="Heading2"/>
        <w:keepNext/>
        <w:spacing w:before="280" w:after="80"/>
        <w:jc w:val="left"/>
      </w:pPr>
      <w:r>
        <w:rPr>
          <w:rFonts w:ascii="Arial" w:hAnsi="Arial"/>
          <w:b/>
          <w:color w:val="1E3A8A"/>
          <w:sz w:val="26"/>
        </w:rPr>
        <w:t>3.4 Diagrama de Componentes (Componentes.drawio.png)</w:t>
      </w:r>
    </w:p>
    <w:p>
      <w:pPr>
        <w:spacing w:after="120" w:line="276" w:lineRule="auto" w:before="0"/>
        <w:jc w:val="both"/>
      </w:pPr>
      <w:r>
        <w:rPr>
          <w:rFonts w:ascii="Arial" w:hAnsi="Arial"/>
          <w:color w:val="1E293B"/>
          <w:sz w:val="22"/>
        </w:rPr>
        <w:t>El diagrama de componentes organiza la solución en 4 capas desacopladas: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Capa Lógica</w:t>
            </w:r>
          </w:p>
        </w:tc>
        <w:tc>
          <w:tcPr>
            <w:tcW w:type="dxa" w:w="288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Componentes Contenidos</w:t>
            </w:r>
          </w:p>
        </w:tc>
        <w:tc>
          <w:tcPr>
            <w:tcW w:type="dxa" w:w="432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Responsabilidad y Tecnología</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 1: Presentación</w:t>
            </w:r>
          </w:p>
        </w:tc>
        <w:tc>
          <w:tcPr>
            <w:tcW w:type="dxa" w:w="288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UI Configuración, UI Registro, UI Agenda, UI Tableros</w:t>
            </w:r>
          </w:p>
        </w:tc>
        <w:tc>
          <w:tcPr>
            <w:tcW w:type="dxa" w:w="432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Django Templates HTML5 responsivos con paleta oficial de La Serena (#AD0000), SweetAlert2 y AJAX asíncrono.</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 2: API / Aplicación</w:t>
            </w:r>
          </w:p>
        </w:tc>
        <w:tc>
          <w:tcPr>
            <w:tcW w:type="dxa" w:w="288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Servicios REST: Autenticación, Registro, Código, Medición, Reportes</w:t>
            </w:r>
          </w:p>
        </w:tc>
        <w:tc>
          <w:tcPr>
            <w:tcW w:type="dxa" w:w="432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Controladores y Vistas Django (views_mantenedores, actividades, agenda) con autenticación RBAC y sesión delegacional.</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Capa 3: Dominio</w:t>
            </w:r>
          </w:p>
        </w:tc>
        <w:tc>
          <w:tcPr>
            <w:tcW w:type="dxa" w:w="288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Motor de Reglas y Cálculo de Cumplimiento</w:t>
            </w:r>
          </w:p>
        </w:tc>
        <w:tc>
          <w:tcPr>
            <w:tcW w:type="dxa" w:w="432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Modelos ORM de Django (Actividad, Compromiso, ItemMeta, PerfilUsuario) con validaciones y reglas ponderadas al 150%.</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Capa 4: Persistencia</w:t>
            </w:r>
          </w:p>
        </w:tc>
        <w:tc>
          <w:tcPr>
            <w:tcW w:type="dxa" w:w="288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Base de Datos Relacional SGR y Repositorio de Evidencias</w:t>
            </w:r>
          </w:p>
        </w:tc>
        <w:tc>
          <w:tcPr>
            <w:tcW w:type="dxa" w:w="432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Motor Relacional MySQL 8.0 (sgr_municipalidad) con claves foráneas e integridad referencial y repositorio de evidencias.</w:t>
            </w:r>
          </w:p>
        </w:tc>
      </w:tr>
    </w:tbl>
    <w:p>
      <w:pPr>
        <w:pStyle w:val="Heading2"/>
        <w:keepNext/>
        <w:spacing w:before="280" w:after="80"/>
        <w:jc w:val="left"/>
      </w:pPr>
      <w:r>
        <w:rPr>
          <w:rFonts w:ascii="Arial" w:hAnsi="Arial"/>
          <w:b/>
          <w:color w:val="1E3A8A"/>
          <w:sz w:val="26"/>
        </w:rPr>
        <w:t>3.5 Diagrama de Despliegue (Despliegue.drawio.png)</w:t>
      </w:r>
    </w:p>
    <w:p>
      <w:pPr>
        <w:spacing w:after="120" w:line="276" w:lineRule="auto" w:before="0"/>
        <w:jc w:val="both"/>
      </w:pPr>
      <w:r>
        <w:rPr>
          <w:rFonts w:ascii="Arial" w:hAnsi="Arial"/>
          <w:color w:val="1E293B"/>
          <w:sz w:val="22"/>
        </w:rPr>
        <w:t>La arquitectura física de despliegue asegura alta disponibilidad, seguridad perimetral y rendimiento optimizado mediante la distribución de nodos: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3120"/>
        <w:gridCol w:w="3120"/>
        <w:gridCol w:w="3120"/>
      </w:tblGrid>
      <w:tr>
        <w:trPr>
          <w:tblHeader/>
          <w:cantSplit/>
        </w:trPr>
        <w:tc>
          <w:tcPr>
            <w:tcW w:type="dxa" w:w="2160"/>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Nodo de Infraestructura</w:t>
            </w:r>
          </w:p>
        </w:tc>
        <w:tc>
          <w:tcPr>
            <w:tcW w:type="dxa" w:w="3168"/>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Entorno / Componente Desplegado</w:t>
            </w:r>
          </w:p>
        </w:tc>
        <w:tc>
          <w:tcPr>
            <w:tcW w:type="dxa" w:w="4032"/>
            <w:shd w:fill="C8102E"/>
            <w:tcMar>
              <w:top w:w="120" w:type="dxa"/>
              <w:bottom w:w="120" w:type="dxa"/>
              <w:left w:w="140" w:type="dxa"/>
              <w:right w:w="140" w:type="dxa"/>
            </w:tcMar>
            <w:shd w:fill="1E293B"/>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Protocolo y Canal de Comunicación</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Dispositivo Cliente</w:t>
            </w:r>
          </w:p>
        </w:tc>
        <w:tc>
          <w:tcPr>
            <w:tcW w:type="dxa" w:w="316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Navegador Web en PC de Escritorio o Smartphone (Google Chrome / Microsoft Edge)</w:t>
            </w:r>
          </w:p>
        </w:tc>
        <w:tc>
          <w:tcPr>
            <w:tcW w:type="dxa" w:w="403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HTTPS (Puerto 443 / TLS 1.3) hacia el Servidor Web.</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Web (DMZ)</w:t>
            </w:r>
          </w:p>
        </w:tc>
        <w:tc>
          <w:tcPr>
            <w:tcW w:type="dxa" w:w="316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Proxy Inverso Apache2 en servidor AWS EC2 (Puerto 80 HTTP público / 3.229.11.31)</w:t>
            </w:r>
          </w:p>
        </w:tc>
        <w:tc>
          <w:tcPr>
            <w:tcW w:type="dxa" w:w="403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Proxy Pass HTTP (Puerto 8080 en red privada) hacia App Server.</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Aplicaciones</w:t>
            </w:r>
          </w:p>
        </w:tc>
        <w:tc>
          <w:tcPr>
            <w:tcW w:type="dxa" w:w="316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Servidor de Aplicaciones Django WSGI bajo systemd (sgr-django.service en localhost:8000)</w:t>
            </w:r>
          </w:p>
        </w:tc>
        <w:tc>
          <w:tcPr>
            <w:tcW w:type="dxa" w:w="403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TCP/JDBC (Puerto 5432) hacia Base de Datos; NFS hacia Fileserver.</w:t>
            </w:r>
          </w:p>
        </w:tc>
      </w:tr>
      <w:tr>
        <w:trPr>
          <w:cantSplit/>
        </w:trPr>
        <w:tc>
          <w:tcPr>
            <w:tcW w:type="dxa" w:w="2160"/>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Base de Datos</w:t>
            </w:r>
          </w:p>
        </w:tc>
        <w:tc>
          <w:tcPr>
            <w:tcW w:type="dxa" w:w="3168"/>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Servidor Base de Datos MySQL 8.0 (Puerto local 3306, base de datos sgr_municipalidad)</w:t>
            </w:r>
          </w:p>
        </w:tc>
        <w:tc>
          <w:tcPr>
            <w:tcW w:type="dxa" w:w="4032"/>
            <w:shd w:fill="FFEBEE"/>
            <w:tcMar>
              <w:top w:w="80" w:type="dxa"/>
              <w:bottom w:w="80" w:type="dxa"/>
              <w:left w:w="120" w:type="dxa"/>
              <w:right w:w="120" w:type="dxa"/>
            </w:tcMar>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Conexión privada aislada sin acceso público exterior.</w:t>
            </w:r>
          </w:p>
        </w:tc>
      </w:tr>
      <w:tr>
        <w:trPr>
          <w:cantSplit/>
        </w:trPr>
        <w:tc>
          <w:tcPr>
            <w:tcW w:type="dxa" w:w="2160"/>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Servidor de Archivos</w:t>
            </w:r>
          </w:p>
        </w:tc>
        <w:tc>
          <w:tcPr>
            <w:tcW w:type="dxa" w:w="3168"/>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Repositorio Local Persistente en AWS EC2 con permisos restringidos</w:t>
            </w:r>
          </w:p>
        </w:tc>
        <w:tc>
          <w:tcPr>
            <w:tcW w:type="dxa" w:w="4032"/>
            <w:shd w:fill="FFFFFF"/>
            <w:tcMar>
              <w:top w:w="80" w:type="dxa"/>
              <w:bottom w:w="80" w:type="dxa"/>
              <w:left w:w="120" w:type="dxa"/>
              <w:right w:w="120" w:type="dxa"/>
            </w:tcMar>
            <w:shd w:fill="F8FAFC"/>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API de Archivos / NFS con permisos restringidos de escritura.</w:t>
            </w:r>
          </w:p>
        </w:tc>
      </w:tr>
    </w:tbl>
    <w:p>
      <w:pPr>
        <w:pStyle w:val="Heading2"/>
        <w:keepNext/>
        <w:spacing w:before="280" w:after="80"/>
        <w:jc w:val="left"/>
      </w:pPr>
      <w:r>
        <w:rPr>
          <w:rFonts w:ascii="Arial" w:hAnsi="Arial"/>
          <w:b/>
          <w:color w:val="1E3A8A"/>
          <w:sz w:val="26"/>
        </w:rPr>
        <w:t>3.6 Matriz de Trazabilidad Integral entre Artefactos UML y Prototypes</w:t>
      </w:r>
    </w:p>
    <w:tbl>
      <w:tblPr>
        <w:tblW w:type="auto" w:w="0"/>
        <w:tblLayout w:type="fixed"/>
        <w:tblLook w:firstColumn="1" w:firstRow="1" w:lastColumn="0" w:lastRow="0" w:noHBand="0" w:noVBand="1" w:val="04A0"/>
        <w:jc w:val="center"/>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rPr>
          <w:tblHeader/>
          <w:cantSplit/>
        </w:trPr>
        <w:tc>
          <w:tcPr>
            <w:tcW w:type="dxa" w:w="1584"/>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Requerimiento</w:t>
            </w:r>
          </w:p>
        </w:tc>
        <w:tc>
          <w:tcPr>
            <w:tcW w:type="dxa" w:w="2016"/>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Caso de Uso (UML)</w:t>
            </w:r>
          </w:p>
        </w:tc>
        <w:tc>
          <w:tcPr>
            <w:tcW w:type="dxa" w:w="1728"/>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Clase de Dominio</w:t>
            </w:r>
          </w:p>
        </w:tc>
        <w:tc>
          <w:tcPr>
            <w:tcW w:type="dxa" w:w="1872"/>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Componente Backend</w:t>
            </w:r>
          </w:p>
        </w:tc>
        <w:tc>
          <w:tcPr>
            <w:tcW w:type="dxa" w:w="2160"/>
            <w:shd w:fill="C8102E"/>
            <w:tcMar>
              <w:top w:w="120" w:type="dxa"/>
              <w:bottom w:w="120" w:type="dxa"/>
              <w:left w:w="140" w:type="dxa"/>
              <w:right w:w="140" w:type="dxa"/>
            </w:tcMar>
            <w:shd w:fill="1E293B"/>
            <w:tcMar>
              <w:top w:w="120" w:type="dxa"/>
              <w:bottom w:w="120" w:type="dxa"/>
              <w:left w:w="140" w:type="dxa"/>
              <w:right w:w="140" w:type="dxa"/>
            </w:tcMar>
            <w:vAlign w:val="center"/>
          </w:tcPr>
          <w:p>
            <w:pPr>
              <w:spacing w:before="0" w:after="0"/>
              <w:jc w:val="left"/>
            </w:pPr>
            <w:r>
              <w:rPr>
                <w:rFonts w:ascii="Arial" w:hAnsi="Arial"/>
                <w:b/>
                <w:i w:val="0"/>
                <w:color w:val="FFFFFF"/>
                <w:sz w:val="19"/>
              </w:rPr>
              <w:t>Pantalla / Wireframe Prototipo</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RF01: Usuarios</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CU01: Administrar Usuarios</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Funcionario, Delegacion</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SvcAutenticacion, SvcAdmin</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PANT-01: Gestión de Usuarios y Roles</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RF02: Parámetros</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CU02: Configurar Parámetros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Periodo, Cargo, Meta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SvcAdmin</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PANT-02: Configuración de Metas y Metas</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RF03: Registro</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CU03: Registrar Actividad</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Actividad</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SvcRegistro</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PANT-03: Formulario Registro Diario</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RF04/RF05: Fotos</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CU04 / CU11: Evidencia y Código</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Evidencia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SvcCodigo, RepoEvidencias</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PANT-04: Carga y Vista Previa de Fotos</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RF06: Validar</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CU05: Validar Evidencia</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Validacion</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SvcValidacion</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PANT-05: Módulo Verificador de Evidencias</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RF07/RF08: Agenda</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CU06 / CU07: Compromisos</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Compromiso</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SvcAgenda</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PANT-06: Agenda Colectiva de Trabajo</w:t>
            </w:r>
          </w:p>
        </w:tc>
      </w:tr>
      <w:tr>
        <w:trPr>
          <w:cantSplit/>
        </w:trPr>
        <w:tc>
          <w:tcPr>
            <w:tcW w:type="dxa" w:w="1584"/>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RF09/RF10: Tableros</w:t>
            </w:r>
          </w:p>
        </w:tc>
        <w:tc>
          <w:tcPr>
            <w:tcW w:type="dxa" w:w="2016"/>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CU08 / CU09: Ficha y Tablero</w:t>
            </w:r>
          </w:p>
        </w:tc>
        <w:tc>
          <w:tcPr>
            <w:tcW w:type="dxa" w:w="1728"/>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Indicador, Delegacion</w:t>
            </w:r>
          </w:p>
        </w:tc>
        <w:tc>
          <w:tcPr>
            <w:tcW w:type="dxa" w:w="1872"/>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SvcMedicion, MotorCalculo</w:t>
            </w:r>
          </w:p>
        </w:tc>
        <w:tc>
          <w:tcPr>
            <w:tcW w:type="dxa" w:w="2160"/>
            <w:shd w:fill="FFFFFF"/>
            <w:tcMar>
              <w:top w:w="80" w:type="dxa"/>
              <w:bottom w:w="80" w:type="dxa"/>
              <w:left w:w="120" w:type="dxa"/>
              <w:right w:w="120" w:type="dxa"/>
            </w:tcMar>
            <w:shd w:fill="F8FAFC"/>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PANT-07: Dashboard y Semáforo de Avance</w:t>
            </w:r>
          </w:p>
        </w:tc>
      </w:tr>
      <w:tr>
        <w:trPr>
          <w:cantSplit/>
        </w:trPr>
        <w:tc>
          <w:tcPr>
            <w:tcW w:type="dxa" w:w="1584"/>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i w:val="0"/>
                <w:color w:val="1E3A8A"/>
                <w:sz w:val="18"/>
              </w:rPr>
              <w:t>RF11: Auditoría</w:t>
            </w:r>
          </w:p>
        </w:tc>
        <w:tc>
          <w:tcPr>
            <w:tcW w:type="dxa" w:w="2016"/>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CU10: Informes y Auditoría</w:t>
            </w:r>
          </w:p>
        </w:tc>
        <w:tc>
          <w:tcPr>
            <w:tcW w:type="dxa" w:w="1728"/>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Auditoria</w:t>
            </w:r>
          </w:p>
        </w:tc>
        <w:tc>
          <w:tcPr>
            <w:tcW w:type="dxa" w:w="1872"/>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SvcReportes</w:t>
            </w:r>
          </w:p>
        </w:tc>
        <w:tc>
          <w:tcPr>
            <w:tcW w:type="dxa" w:w="2160"/>
            <w:shd w:fill="FFEBEE"/>
            <w:tcMar>
              <w:top w:w="80" w:type="dxa"/>
              <w:bottom w:w="80" w:type="dxa"/>
              <w:left w:w="120" w:type="dxa"/>
              <w:right w:w="120" w:type="dxa"/>
            </w:tcMar>
            <w:shd w:fill="FFFFFF"/>
            <w:tcMar>
              <w:top w:w="70" w:type="dxa"/>
              <w:bottom w:w="70" w:type="dxa"/>
              <w:left w:w="120" w:type="dxa"/>
              <w:right w:w="120" w:type="dxa"/>
            </w:tcMar>
            <w:vAlign w:val="center"/>
          </w:tcPr>
          <w:p>
            <w:pPr>
              <w:spacing w:before="0" w:after="0" w:line="252" w:lineRule="auto"/>
              <w:jc w:val="left"/>
            </w:pPr>
            <w:r>
              <w:rPr>
                <w:rFonts w:ascii="Arial" w:hAnsi="Arial"/>
                <w:b w:val="0"/>
                <w:i w:val="0"/>
                <w:color w:val="1E293B"/>
                <w:sz w:val="18"/>
              </w:rPr>
              <w:t>PANT-08: Reportes e Histórico Auditable</w:t>
            </w:r>
          </w:p>
        </w:tc>
      </w:tr>
    </w:tbl>
    <w:tbl>
      <w:tblPr>
        <w:tblW w:type="auto" w:w="0"/>
        <w:jc w:val="center"/>
        <w:tblLayout w:type="fixed"/>
        <w:tblLook w:firstColumn="1" w:firstRow="1" w:lastColumn="0" w:lastRow="0" w:noHBand="0" w:noVBand="1" w:val="04A0"/>
      </w:tblPr>
      <w:tblGrid>
        <w:gridCol w:w="9360"/>
      </w:tblGrid>
      <w:tr>
        <w:trPr>
          <w:tblHeader/>
          <w:cantSplit/>
        </w:trPr>
        <w:tc>
          <w:tcPr>
            <w:tcW w:type="dxa" w:w="9360"/>
            <w:shd w:fill="FFF5F5"/>
            <w:tcMar>
              <w:top w:w="140" w:type="dxa"/>
              <w:bottom w:w="140" w:type="dxa"/>
              <w:left w:w="200" w:type="dxa"/>
              <w:right w:w="200" w:type="dxa"/>
            </w:tcMar>
            <w:tcBorders>
              <w:top w:val="none"/>
              <w:left w:val="single" w:sz="24" w:space="0" w:color="C8102E"/>
              <w:bottom w:val="none"/>
              <w:right w:val="none"/>
            </w:tcBorders>
            <w:shd w:fill="1E293B"/>
            <w:tcMar>
              <w:top w:w="120" w:type="dxa"/>
              <w:bottom w:w="120" w:type="dxa"/>
              <w:left w:w="140" w:type="dxa"/>
              <w:right w:w="140" w:type="dxa"/>
            </w:tcMar>
            <w:vAlign w:val="center"/>
          </w:tcPr>
          <w:p>
            <w:pPr>
              <w:spacing w:before="0" w:after="0"/>
              <w:jc w:val="left"/>
            </w:pPr>
            <w:r>
              <w:rPr>
                <w:rFonts w:ascii="Arial" w:hAnsi="Arial"/>
                <w:b/>
                <w:color w:val="FFFFFF"/>
                <w:sz w:val="19"/>
              </w:rPr>
              <w:t xml:space="preserve">COBERURA ARQUITECTÓNICA COMPLETA: </w:t>
            </w:r>
            <w:r>
              <w:rPr>
                <w:rFonts w:ascii="Arial" w:hAnsi="Arial"/>
                <w:b/>
                <w:color w:val="FFFFFF"/>
                <w:sz w:val="19"/>
              </w:rPr>
              <w:t>La matriz de trazabilidad garantiza que el 100% de los requerimientos funcionales y casos de uso tengan una representación directa tanto en la arquitectura backend como en las interfaces de usuario desarrolladas en el prototipo Front-End.</w:t>
            </w:r>
          </w:p>
        </w:tc>
      </w:tr>
    </w:tbl>
    <w:p>
      <w:pPr>
        <w:pStyle w:val="Heading2"/>
        <w:spacing w:before="280" w:after="80"/>
        <w:jc w:val="left"/>
      </w:pPr>
      <w:r>
        <w:rPr>
          <w:rFonts w:ascii="Arial" w:hAnsi="Arial"/>
          <w:b/>
          <w:color w:val="1E3A8A"/>
          <w:sz w:val="26"/>
        </w:rPr>
        <w:t>3.7 Propuesta de Wireframes Front-End y Cadena de Trazabilidad Visual</w:t>
      </w:r>
    </w:p>
    <w:p>
      <w:pPr>
        <w:spacing w:line="276" w:lineRule="auto" w:before="0" w:after="120"/>
        <w:jc w:val="both"/>
      </w:pPr>
      <w:r>
        <w:rPr>
          <w:rFonts w:ascii="Arial" w:hAnsi="Arial"/>
          <w:color w:val="1E293B"/>
          <w:sz w:val="22"/>
        </w:rPr>
        <w:t>Para dar cumplimiento estricto al estándar de calidad exigido en la Guía de Formulación de Proyecto de Ingeniería de Software (TI2043), a continuación se presenta la cadena de trazabilidad bidireccional completa:</w:t>
        <w:br/>
        <w:t>Requerimiento Funcional (RF) ➜ Épica ➜ Caso de Uso Alto Nivel ➜ Caso de Uso Específico ➜ WireFrame (Front-End)</w:t>
        <w:br/>
        <w:br/>
        <w:t>Se desarrollan los dos flujos troncales del Sistema de Gestión de Resultados (SGR):</w:t>
        <w:br/>
        <w:t>• Flujo A: Formulario Unificado de Gestiones con Derivación al Tubo de Trabajo (RF-016 / CU-01.2).</w:t>
        <w:br/>
        <w:t>• Flujo B: Tablero Kanban del Tubo de Trabajo para Seguimiento Intersectorial (RF-017 / CU-02.1).</w:t>
      </w:r>
    </w:p>
    <w:p>
      <w:pPr>
        <w:pStyle w:val="Heading3"/>
        <w:spacing w:before="200" w:after="60"/>
        <w:jc w:val="left"/>
      </w:pPr>
      <w:r>
        <w:rPr>
          <w:rFonts w:ascii="Arial" w:hAnsi="Arial"/>
          <w:b/>
          <w:color w:val="334155"/>
          <w:sz w:val="22"/>
        </w:rPr>
        <w:t>3.7.1 Flujo A: Formulario Unificado de Gestiones y Derivación al Tubo</w:t>
      </w:r>
    </w:p>
    <w:tbl>
      <w:tblPr>
        <w:tblW w:type="auto" w:w="0"/>
        <w:jc w:val="center"/>
        <w:tblLook w:firstColumn="1" w:firstRow="1" w:lastColumn="0" w:lastRow="0" w:noHBand="0" w:noVBand="1" w:val="04A0"/>
      </w:tblPr>
      <w:tblGrid>
        <w:gridCol w:w="4680"/>
        <w:gridCol w:w="4680"/>
      </w:tblGrid>
      <w:tr>
        <w:trPr>
          <w:tblHeader/>
          <w:cantSplit/>
        </w:trPr>
        <w:tc>
          <w:tcPr>
            <w:tcW w:type="dxa" w:w="4680"/>
            <w:shd w:fill="0F172A"/>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Artefacto en la Cadena</w:t>
            </w:r>
          </w:p>
        </w:tc>
        <w:tc>
          <w:tcPr>
            <w:tcW w:type="dxa" w:w="4680"/>
            <w:shd w:fill="0F172A"/>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Especificación Técnica y Valor para el Proyecto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1. Requerimiento Funcional</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RF-016: Registro Centralizado de Gestiones Comunales y Derivación Opcional al Tubo de Trabajo.</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2. Épica del Backlog</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EP-01: Gestión Centralizada de Demandas Ciudadanas y Derivación Intersectorial.</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3. Caso de Uso Alto Nivel</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CU-01: Administrar Gestiones Ciudadanas y Territoriales.</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4. Caso de Uso Específico</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CU-01.2: Registrar Nueva Gestión con Activación de Tubo de Trabajo (con cuadro normalizado).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5. Wireframe Front-End</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Pantalla de Registro Unificado con catálogo en cascada AJAX y acordeón reactivo (#seccionTubo).</w:t>
            </w:r>
          </w:p>
        </w:tc>
      </w:tr>
    </w:tbl>
    <w:p>
      <w:pPr>
        <w:spacing w:before="160" w:after="60"/>
        <w:jc w:val="left"/>
      </w:pPr>
      <w:r>
        <w:rPr>
          <w:rFonts w:ascii="Arial" w:hAnsi="Arial"/>
          <w:b/>
          <w:color w:val="1E3A8A"/>
          <w:sz w:val="21"/>
        </w:rPr>
        <w:t>Cuadro Normalizado: Caso de Uso Específico CU-01.2</w:t>
      </w:r>
    </w:p>
    <w:tbl>
      <w:tblPr>
        <w:tblW w:type="auto" w:w="0"/>
        <w:jc w:val="center"/>
        <w:tblLook w:firstColumn="1" w:firstRow="1" w:lastColumn="0" w:lastRow="0" w:noHBand="0" w:noVBand="1" w:val="04A0"/>
      </w:tblPr>
      <w:tblGrid>
        <w:gridCol w:w="4680"/>
        <w:gridCol w:w="4680"/>
      </w:tblGrid>
      <w:tr>
        <w:trPr>
          <w:tblHeader/>
          <w:cantSplit/>
        </w:trPr>
        <w:tc>
          <w:tcPr>
            <w:tcW w:type="dxa" w:w="4680"/>
            <w:shd w:fill="0369A1"/>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Campo Específico</w:t>
            </w:r>
          </w:p>
        </w:tc>
        <w:tc>
          <w:tcPr>
            <w:tcW w:type="dxa" w:w="4680"/>
            <w:shd w:fill="0369A1"/>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Detalle Operativo del Caso de Uso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Nombre del Caso de Uso</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CU-01.2: Registrar Nueva Gestión con Activación de Tubo de Trabajo</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Actor(es) Principales</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Funcionario / Operador Territorial (iniciador), Delegado Municipal (iniciador).</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b/>
                <w:color w:val="1E3A8A"/>
                <w:sz w:val="18"/>
              </w:rPr>
              <w:t>Precondiciones</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1. Funcionario autenticado en sesión activa.</w:t>
              <w:br/>
              <w:t>2. Delegación territorial asignada.</w:t>
              <w:br/>
              <w:t>3. Catálogos temáticos y funcionarios activos.</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Flujo Principal (Exitoso)</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1. El actor ingresa a Gestiones ➜ Nueva Gestión (/actividades/nueva/).</w:t>
              <w:br/>
              <w:t>2. El sistema despliega el formulario unificado con fecha actual y código sugerido GES-XXXXX.</w:t>
              <w:br/>
              <w:t>3. El actor ingresa datos del solicitante (nombre, RUT, teléfono, dirección y territorio).</w:t>
              <w:br/>
              <w:t>4. El actor selecciona Tipo de Atención; el sistema carga asíncronamente (AJAX) las SubAtenciones.</w:t>
              <w:br/>
              <w:t>5. El actor ingresa la solicitud y la acción realizada.</w:t>
              <w:br/>
              <w:t>6. El actor activa el switch '¿Derivar al Tubo de Trabajo? = SÍ'.</w:t>
              <w:br/>
              <w:t>7. El sistema despliega dinámicamente la sección del Tubo solicitando fecha límite, área de apoyo y territorio.</w:t>
              <w:br/>
              <w:t>8. El actor presiona 'Guardar Gestión y Generar Folio Oficial'.</w:t>
              <w:br/>
              <w:t>9. El sistema inicia transacción atómica, inserta en 'actividades', genera compromiso correlativo 'TUB-XXXXX' con id_actividad vinculado y código de evidencia 'EVI-YYYYMMDD-XXXX'.</w:t>
              <w:br/>
              <w:t>10. El sistema redirige al Libro General de Gestiones confirmando con SweetAlert2.</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Flujos Alternativos / Excepciones</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A1. Caso Social Especializado: Si activa '¿Es Gestión Social?', el prefijo cambia a SOC-XXXXX y se despliega la ficha multi-etapa (Visitas, FIBE, Beneficios).</w:t>
              <w:br/>
              <w:t>A2. Campos obligatorios incompletos: El sistema bloquea el envío y resalta campos en rojo.</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b/>
                <w:color w:val="1E3A8A"/>
                <w:sz w:val="18"/>
              </w:rPr>
              <w:t>Postcondiciones</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La gestión se consolida en el Libro General y la tarjeta aparece de inmediato en la columna 'Ingresados / Pendientes' del Tablero Kanban del Tubo.</w:t>
            </w:r>
          </w:p>
        </w:tc>
      </w:tr>
    </w:tbl>
    <w:p>
      <w:pPr>
        <w:spacing w:line="276" w:lineRule="auto" w:before="0" w:after="120"/>
        <w:jc w:val="both"/>
      </w:pPr>
      <w:r>
        <w:rPr>
          <w:rFonts w:ascii="Arial" w:hAnsi="Arial"/>
          <w:i/>
          <w:color w:val="1E293B"/>
          <w:sz w:val="22"/>
        </w:rPr>
        <w:t>Blueprint Estructural del Wireframe A (Formulario Unificado /actividades/nueva/):</w:t>
        <w:br/>
        <w:t>El siguiente esquema representa la distribución espacial, los bloques funcionales y las llamadas de interacción:</w:t>
      </w:r>
    </w:p>
    <w:p>
      <w:pPr>
        <w:spacing w:line="240" w:lineRule="auto" w:before="80" w:after="160"/>
        <w:jc w:val="left"/>
      </w:pPr>
      <w:r>
        <w:rPr>
          <w:rFonts w:ascii="Consolas" w:hAnsi="Consolas"/>
          <w:color w:val="1E293B"/>
          <w:sz w:val="15"/>
        </w:rPr>
        <w:t>┌─────────────────────────────────────────────────────────────────────────────────────────────┐</w:t>
        <w:br/>
        <w:t>│ MUNICIPALIDAD DE LA SERENA — SGR                👤 Juan Pérez [Las Compañías Alta]  [Salir] │</w:t>
        <w:br/>
        <w:t>├─────────────────────────────────────────────────────────────────────────────────────────────┤</w:t>
        <w:br/>
        <w:t>│ [ Inicio ]   [ Gestiones ▼ ]   [ Tubo de Trabajo ]   [ Mantenedores ▼ ]   [ Resultados ]    │</w:t>
        <w:br/>
        <w:t>├─────────────────────────────────────────────────────────────────────────────────────────────┤</w:t>
        <w:br/>
        <w:t>│ FORMULARIO UNIFICADO DE REGISTRO DE GESTIÓN (RF-016 / CU-01.2)                              │</w:t>
        <w:br/>
        <w:t>│                                                                                             │</w:t>
        <w:br/>
        <w:t>│ ┌─ [1] ENCABEZADO DE AUDITORÍA ───────────────────────────────────────────────────────────┐ │</w:t>
        <w:br/>
        <w:t>│ │ Delegación: [DEL-01] Las Compañías Alta    │ Folio Sugerido: [ GES-00028 ]              │ │</w:t>
        <w:br/>
        <w:t>│ │ Fecha:      [ 22/10/2026 ]                 │ Código Evidencia: [ EVI-20261022-0028 ]    │ │</w:t>
        <w:br/>
        <w:t>│ └─────────────────────────────────────────────────────────────────────────────────────────┘ │</w:t>
        <w:br/>
        <w:t>│                                                                                             │</w:t>
        <w:br/>
        <w:t>│ ┌─ [2] DATOS DEL VECINO / SOLICITANTE ────────────────────────────────────────────────────┐ │</w:t>
        <w:br/>
        <w:t>│ │ Nombre (*): [ Roberto Carlos Valenzuela Araya      ] RUT: [ 12.345.678-9 ]              │ │</w:t>
        <w:br/>
        <w:t>│ │ Teléfono:   [ +56 9 8765 4321 ]     Correo:   [ rvalenzuela@vecino.cl                  ]│ │</w:t>
        <w:br/>
        <w:t>│ │ Dirección:  [ Pasaje Las Rosas #450, Villa El Brillador                                ]│ │</w:t>
        <w:br/>
        <w:t>│ │ Territorio: [ Las Compañías Alta - Sector El Salitre                                   ]│ │</w:t>
        <w:br/>
        <w:t>│ └─────────────────────────────────────────────────────────────────────────────────────────┘ │</w:t>
        <w:br/>
        <w:t>│                                                                                             │</w:t>
        <w:br/>
        <w:t>│ ┌─ [3] CLASIFICACIÓN TEMÁTICA EN CASCADA (AJAX) ──────────────────────────────────────────┐ │</w:t>
        <w:br/>
        <w:t>│ │ Tipo Atención (*): [ Infraestructura y Espacios Públicos (TIP-02)                     ▼]│ │</w:t>
        <w:br/>
        <w:t>│ │ Sub Atención (*):  [ Bacheo y Pavimentación Participativa (SUB-04)                   ▼]│ │</w:t>
        <w:br/>
        <w:t>│ │ Responsable (*):   [ Acuaman (Encargado Operaciones)                                  ▼]│ │</w:t>
        <w:br/>
        <w:t>│ └─────────────────────────────────────────────────────────────────────────────────────────┘ │</w:t>
        <w:br/>
        <w:t>│                                                                                             │</w:t>
        <w:br/>
        <w:t>│ ┌─ [4] REQUERIMIENTO Y RESPUESTA MUNICIPAL ───────────────────────────────────────────────┐ │</w:t>
        <w:br/>
        <w:t>│ │ Solicitud (*): [ Vecinos reportan socavón en calzada por rotura de matriz. Peligro vial ]│ │</w:t>
        <w:br/>
        <w:t>│ │ Acción (*):    [ Inspección técnica en terreno con presidente de Junta de Vecinos       ]│ │</w:t>
        <w:br/>
        <w:t>│ └─────────────────────────────────────────────────────────────────────────────────────────┘ │</w:t>
        <w:br/>
        <w:t>│                                                                                             │</w:t>
        <w:br/>
        <w:t>│ ┌─ [5] SECCIÓN REACTIVA: TUBO DE TRABAJO (SEGUIMIENTO INTERSECTORIAL) ────────────────────┐ │</w:t>
        <w:br/>
        <w:t>│ │ [X] ¿MANDAR AL MÉTODO DE TUBO DE TRABAJO? (Derivación coordinada entre unidades)        │ │</w:t>
        <w:br/>
        <w:t>│ │ ┌─────────────────────────────────────────────────────────────────────────────────────┐ │ │</w:t>
        <w:br/>
        <w:t>│ │ │ Fecha Comprometida (*): [ 15/11/2026 ]   Área de Apoyo (*): [ Dirección de Tránsito ]│ │ │</w:t>
        <w:br/>
        <w:t>│ │ │ Territorio Específico:  [ Sector El Salitre - Eje Central                           ]│ │ │</w:t>
        <w:br/>
        <w:t>│ │ │ ℹ️ Se creará una tarjeta con código TUB-XXXXX visible en el Tablero Kanban.         │ │ │</w:t>
        <w:br/>
        <w:t>│ │ └─────────────────────────────────────────────────────────────────────────────────────┘ │ │</w:t>
        <w:br/>
        <w:t>│ └─────────────────────────────────────────────────────────────────────────────────────────┘ │</w:t>
        <w:br/>
        <w:t>│                                                                                             │</w:t>
        <w:br/>
        <w:t>│ [ Cancelar ]                                 [ 💾 GUARDAR GESTIÓN Y GENERAR FOLIO OFICIAL ] │</w:t>
        <w:br/>
        <w:t>└─────────────────────────────────────────────────────────────────────────────────────────────┘</w:t>
      </w:r>
    </w:p>
    <w:p>
      <w:pPr>
        <w:pStyle w:val="Heading3"/>
        <w:spacing w:before="200" w:after="60"/>
        <w:jc w:val="left"/>
      </w:pPr>
      <w:r>
        <w:rPr>
          <w:rFonts w:ascii="Arial" w:hAnsi="Arial"/>
          <w:b/>
          <w:color w:val="334155"/>
          <w:sz w:val="22"/>
        </w:rPr>
        <w:t>3.7.2 Flujo B: Tablero Kanban del Tubo de Trabajo (Seguimiento Intersectorial)</w:t>
      </w:r>
    </w:p>
    <w:tbl>
      <w:tblPr>
        <w:tblW w:type="auto" w:w="0"/>
        <w:jc w:val="center"/>
        <w:tblLook w:firstColumn="1" w:firstRow="1" w:lastColumn="0" w:lastRow="0" w:noHBand="0" w:noVBand="1" w:val="04A0"/>
      </w:tblPr>
      <w:tblGrid>
        <w:gridCol w:w="4680"/>
        <w:gridCol w:w="4680"/>
      </w:tblGrid>
      <w:tr>
        <w:trPr>
          <w:tblHeader/>
          <w:cantSplit/>
        </w:trPr>
        <w:tc>
          <w:tcPr>
            <w:tcW w:type="dxa" w:w="4680"/>
            <w:shd w:fill="0F172A"/>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Artefacto en la Cadena</w:t>
            </w:r>
          </w:p>
        </w:tc>
        <w:tc>
          <w:tcPr>
            <w:tcW w:type="dxa" w:w="4680"/>
            <w:shd w:fill="0F172A"/>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Especificación Técnica y Valor para el Proyecto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1. Requerimiento Funcional</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RF-017: Tablero Kanban Intersectorial del Método Tubo de Trabajo.</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2. Épica del Backlog</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EP-02: Trazabilidad, Coordinación y Control Operativo del Tubo de Trabajo.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3. Caso de Uso Alto Nivel</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CU-02: Gestionar Tubo de Trabajo Municipal.</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4. Caso de Uso Específico</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CU-02.1: Visualizar y Transicionar Estados en Tablero Kanban (con cuadro normalizado).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5. Wireframe Front-End</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Tablero visual de 4 columnas (Ingresados, Pendientes, En Proceso, Realizados) con badges de origen.</w:t>
            </w:r>
          </w:p>
        </w:tc>
      </w:tr>
    </w:tbl>
    <w:p>
      <w:pPr>
        <w:spacing w:before="160" w:after="60"/>
        <w:jc w:val="left"/>
      </w:pPr>
      <w:r>
        <w:rPr>
          <w:rFonts w:ascii="Arial" w:hAnsi="Arial"/>
          <w:b/>
          <w:color w:val="1E3A8A"/>
          <w:sz w:val="21"/>
        </w:rPr>
        <w:t>Cuadro Normalizado: Caso de Uso Específico CU-02.1</w:t>
      </w:r>
    </w:p>
    <w:tbl>
      <w:tblPr>
        <w:tblW w:type="auto" w:w="0"/>
        <w:jc w:val="center"/>
        <w:tblLook w:firstColumn="1" w:firstRow="1" w:lastColumn="0" w:lastRow="0" w:noHBand="0" w:noVBand="1" w:val="04A0"/>
      </w:tblPr>
      <w:tblGrid>
        <w:gridCol w:w="4680"/>
        <w:gridCol w:w="4680"/>
      </w:tblGrid>
      <w:tr>
        <w:trPr>
          <w:tblHeader/>
          <w:cantSplit/>
        </w:trPr>
        <w:tc>
          <w:tcPr>
            <w:tcW w:type="dxa" w:w="4680"/>
            <w:shd w:fill="0369A1"/>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Campo Específico</w:t>
            </w:r>
          </w:p>
        </w:tc>
        <w:tc>
          <w:tcPr>
            <w:tcW w:type="dxa" w:w="4680"/>
            <w:shd w:fill="0369A1"/>
            <w:tcMar>
              <w:top w:w="120" w:type="dxa"/>
              <w:bottom w:w="120" w:type="dxa"/>
              <w:left w:w="150" w:type="dxa"/>
              <w:right w:w="150" w:type="dxa"/>
            </w:tcMar>
            <w:shd w:fill="1E293B"/>
            <w:tcMar>
              <w:top w:w="120" w:type="dxa"/>
              <w:bottom w:w="120" w:type="dxa"/>
              <w:left w:w="140" w:type="dxa"/>
              <w:right w:w="140" w:type="dxa"/>
            </w:tcMar>
            <w:vAlign w:val="center"/>
          </w:tcPr>
          <w:p>
            <w:pPr>
              <w:spacing w:before="0" w:after="0"/>
              <w:jc w:val="left"/>
            </w:pPr>
            <w:r>
              <w:rPr>
                <w:rFonts w:ascii="Arial" w:hAnsi="Arial"/>
                <w:b/>
                <w:color w:val="FFFFFF"/>
                <w:sz w:val="19"/>
              </w:rPr>
              <w:t>Detalle Operativo del Caso de Uso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Nombre del Caso de Uso</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CU-02.1: Visualizar y Transicionar Estados en Tablero Kanban</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Actor(es) Principales</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Delegado Municipal (iniciador), Coordinador Comunal (iniciador), Funcionario Responsable.</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b/>
                <w:color w:val="1E3A8A"/>
                <w:sz w:val="18"/>
              </w:rPr>
              <w:t>Precondiciones</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1. Usuario con rol autorizado en la delegación.</w:t>
              <w:br/>
              <w:t>2. Existencia de compromisos registrados en 'compromisos_tubo'.</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Flujo Principal (Exitoso)</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1. El actor ingresa a Tubo de Trabajo (/agenda/resumen/).</w:t>
              <w:br/>
              <w:t>2. El sistema consulta la base de datos MySQL por delegación y agrupa los compromisos en 4 columnas según su estado.</w:t>
              <w:br/>
              <w:t>3. El sistema renderiza el tablero con conteo en tiempo real por columna.</w:t>
              <w:br/>
              <w:t>4. Cada tarjeta expone código TUB-XXXXX, badge con código de gestión de origen [GES/SOC], vecino, territorio y área de apoyo.</w:t>
              <w:br/>
              <w:t>5. El actor localiza la tarjeta y presiona el botón de avance (ej: '✓ Realizar').</w:t>
              <w:br/>
              <w:t>6. El sistema procesa la transición en el controlador /agenda/cambiar-estado/&lt;id&gt;/REALIZADO/.</w:t>
              <w:br/>
              <w:t>7. Se actualiza el compromiso a 'REALIZADO' y automáticamente se actualiza la gestión madre vinculada (Actividad).</w:t>
              <w:br/>
              <w:t>8. La tarjeta se traslada a la columna 4 (Realizados) con estilo verde de éxito.</w:t>
            </w:r>
          </w:p>
        </w:tc>
      </w:tr>
      <w:tr>
        <w:trPr>
          <w:cantSplit/>
        </w:trPr>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Flujos Alternativos / Excepciones</w:t>
            </w:r>
          </w:p>
        </w:tc>
        <w:tc>
          <w:tcPr>
            <w:tcW w:type="dxa" w:w="4680"/>
            <w:shd w:fill="F8FAFC"/>
            <w:tcMar>
              <w:top w:w="80" w:type="dxa"/>
              <w:bottom w:w="80" w:type="dxa"/>
              <w:left w:w="120" w:type="dxa"/>
              <w:right w:w="120" w:type="dxa"/>
            </w:tcMar>
            <w:shd w:fill="F8FAFC"/>
            <w:tcMar>
              <w:top w:w="70" w:type="dxa"/>
              <w:bottom w:w="70" w:type="dxa"/>
              <w:left w:w="120" w:type="dxa"/>
              <w:right w:w="120" w:type="dxa"/>
            </w:tcMar>
            <w:vAlign w:val="center"/>
          </w:tcPr>
          <w:p>
            <w:pPr>
              <w:spacing w:line="252" w:lineRule="auto" w:before="0" w:after="0"/>
              <w:jc w:val="left"/>
            </w:pPr>
            <w:r>
              <w:rPr>
                <w:rFonts w:ascii="Arial" w:hAnsi="Arial"/>
                <w:color w:val="1E293B"/>
                <w:sz w:val="18"/>
              </w:rPr>
              <w:t>A1. Compromiso directo sin gestión madre: Opera de manera autónoma sin badge de enlace [GES].</w:t>
              <w:br/>
              <w:t>A2. Fallo de permisos: Si un usuario intenta modificar compromisos de otra delegación, el sistema emite HTTP 403 Forbidden.</w:t>
            </w:r>
          </w:p>
        </w:tc>
      </w:tr>
      <w:tr>
        <w:trPr>
          <w:cantSplit/>
        </w:trPr>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b/>
                <w:color w:val="1E3A8A"/>
                <w:sz w:val="18"/>
              </w:rPr>
              <w:t>Postcondiciones</w:t>
            </w:r>
          </w:p>
        </w:tc>
        <w:tc>
          <w:tcPr>
            <w:tcW w:type="dxa" w:w="4680"/>
            <w:tcMar>
              <w:top w:w="80" w:type="dxa"/>
              <w:bottom w:w="80" w:type="dxa"/>
              <w:left w:w="120" w:type="dxa"/>
              <w:right w:w="120" w:type="dxa"/>
            </w:tcMar>
            <w:shd w:fill="FFFFFF"/>
            <w:tcMar>
              <w:top w:w="70" w:type="dxa"/>
              <w:bottom w:w="70" w:type="dxa"/>
              <w:left w:w="120" w:type="dxa"/>
              <w:right w:w="120" w:type="dxa"/>
            </w:tcMar>
            <w:vAlign w:val="center"/>
          </w:tcPr>
          <w:p>
            <w:pPr>
              <w:spacing w:line="252" w:lineRule="auto" w:before="0" w:after="0"/>
              <w:jc w:val="left"/>
            </w:pPr>
            <w:r>
              <w:rPr>
                <w:rFonts w:ascii="Arial" w:hAnsi="Arial"/>
                <w:color w:val="1E293B"/>
                <w:sz w:val="18"/>
              </w:rPr>
              <w:t>El compromiso se marca como cumplido y suma para las metas ponderadas en el módulo de Resultados SGR.</w:t>
            </w:r>
          </w:p>
        </w:tc>
      </w:tr>
    </w:tbl>
    <w:p>
      <w:pPr>
        <w:spacing w:line="240" w:lineRule="auto" w:before="80" w:after="160"/>
        <w:jc w:val="left"/>
      </w:pPr>
      <w:r>
        <w:rPr>
          <w:rFonts w:ascii="Consolas" w:hAnsi="Consolas"/>
          <w:color w:val="1E293B"/>
          <w:sz w:val="15"/>
        </w:rPr>
        <w:t>┌─────────────────────────────────────────────────────────────────────────────────────────────┐</w:t>
        <w:br/>
        <w:t>│ MUNICIPALIDAD DE LA SERENA — SGR                👤 Carlos Delegado [Las Compañías]  [Salir] │</w:t>
        <w:br/>
        <w:t>├─────────────────────────────────────────────────────────────────────────────────────────────┤</w:t>
        <w:br/>
        <w:t>│ TABLERO KANBAN — MÉTODO TUBO DE TRABAJO (RF-017 / CU-02.1)           [ + Nuevo Compromiso ] │</w:t>
        <w:br/>
        <w:t>├────────────────────────┬────────────────────────┬─────────────────────┬─────────────────────┤</w:t>
        <w:br/>
        <w:t>│ 1. INGRESADOS      (2) │ 2. PENDIENTES      (1) │ 3. EN PROCESO   (2) │ 4. REALIZADOS   (3) │</w:t>
        <w:br/>
        <w:t>├────────────────────────┼────────────────────────┼─────────────────────┼─────────────────────┤</w:t>
        <w:br/>
        <w:t>│ ┌────────────────────┐ │ ┌────────────────────┐ │ ┌─────────────────┐ │ ┌─────────────────┐ │</w:t>
        <w:br/>
        <w:t>│ │ TUB-00028          │ │ │ TUB-00025          │ │ │ TUB-00024       │ │ │ TUB-00019       │ │</w:t>
        <w:br/>
        <w:t>│ │ [GES-00028] (Link) │ │ │ [GES-00025] (Link) │ │ │ [SOC-00027]     │ │ │ [SOC-00022]     │ │</w:t>
        <w:br/>
        <w:t>│ │ Socavón calzada en │ │ │ Luminarias pasaje  │ │ │ Evaluación y    │ │ │ Techumbre en    │ │</w:t>
        <w:br/>
        <w:t>│ │ Pasaje Las Rosas   │ │ │ Los Lirios #45     │ │ │ canasta social  │ │ │ sector El Romero│ │</w:t>
        <w:br/>
        <w:t>│ │ 👤 R. Valenzuela   │ │ │ 👤 M. Henríquez    │ │ │ 👤 B. Ossa M.   │ │ │ 👤 G. Cortés    │ │</w:t>
        <w:br/>
        <w:t>│ │ 📍 El Salitre      │ │ │ 📍 Sector Las Rosas│ │ │ 📍 El Romero    │ │ │ 📍 M. Brillador │ │</w:t>
        <w:br/>
        <w:t>│ │ 🛠️ Obras y Tránsito│ │ │ 🛠️ Alumbrado Públ. │ │ │ 🛠️ DIDECO Social│ │ │ 🛠️ Emergencia   │ │</w:t>
        <w:br/>
        <w:t>│ │ [Ver] [A Pendiente]│ │ │ [Ver] [A Proceso →]│ │ │ [Ver][✓Realizar]│ │ │ [Ver] (Cerrada) │ │</w:t>
        <w:br/>
        <w:t>│ └────────────────────┘ │ └────────────────────┘ │ └─────────────────┘ │ └─────────────────┘ │</w:t>
        <w:br/>
        <w:t>└────────────────────────┴────────────────────────┴─────────────────────┴─────────────────────┘</w:t>
      </w:r>
    </w:p>
    <w:p>
      <w:pPr>
        <w:pStyle w:val="Heading3"/>
        <w:spacing w:before="200" w:after="60"/>
        <w:jc w:val="left"/>
      </w:pPr>
      <w:r>
        <w:rPr>
          <w:rFonts w:ascii="Arial" w:hAnsi="Arial"/>
          <w:b/>
          <w:color w:val="334155"/>
          <w:sz w:val="22"/>
        </w:rPr>
        <w:t>3.7.3 Evidencia de Despliegue y Acceso a los Prototipos en Producción</w:t>
      </w:r>
    </w:p>
    <w:p>
      <w:pPr>
        <w:spacing w:line="276" w:lineRule="auto" w:before="0" w:after="120"/>
        <w:jc w:val="both"/>
      </w:pPr>
      <w:r>
        <w:rPr>
          <w:rFonts w:ascii="Arial" w:hAnsi="Arial"/>
          <w:color w:val="1E293B"/>
          <w:sz w:val="22"/>
        </w:rPr>
        <w:t>Para facilitar la revisión y evaluación interactiva por parte de la docente guía, los wireframes y el prototipo funcional completo se encuentran desplegados y operativos en la nube pública:</w:t>
        <w:br/>
        <w:br/>
        <w:t>• Wireframe Interactivo en Línea (Blueprint Dinámico):</w:t>
        <w:br/>
        <w:t xml:space="preserve">  URL: http://3.229.11.31/wireframes/</w:t>
        <w:br/>
        <w:t xml:space="preserve">  Permite al evaluador alternar entre el Formulario Unificado y el Tablero Kanban, accionar el switch interactivo del Tubo de Trabajo y verificar la carga asíncrona de subatenciones en cascada.</w:t>
        <w:br/>
        <w:br/>
        <w:t>• Prototipo Funcional Real en Producción (AWS EC2):</w:t>
        <w:br/>
        <w:t xml:space="preserve">  - Formulario Unificado de Gestiones: http://3.229.11.31/actividades/nueva/</w:t>
        <w:br/>
        <w:t xml:space="preserve">  - Tablero Kanban del Tubo de Trabajo: http://3.229.11.31/agenda/resumen/</w:t>
        <w:br/>
        <w:t xml:space="preserve">  - Libro General de Gestiones: http://3.229.11.31/actividades/</w:t>
        <w:br/>
        <w:t xml:space="preserve">  - Acceso Principal a la Plataforma: http://3.229.11.31/login/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8"/>
      </w:rPr>
      <w:t xml:space="preserve">Página </w:t>
    </w:r>
    <w:fldSimple w:instr="PAGE"/>
    <w:r>
      <w:rPr>
        <w:rFonts w:ascii="Arial" w:hAnsi="Arial"/>
        <w:color w:val="666666"/>
        <w:sz w:val="18"/>
      </w:rPr>
      <w:t xml:space="preserve"> de </w:t>
    </w:r>
    <w:fldSimple w:instr="NUMPAGES"/>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888888"/>
        <w:sz w:val="17"/>
      </w:rPr>
      <w:t>SGR - Informe Técnico de Planificación y Diseño | INACAP</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Arial" w:hAnsi="Arial"/>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line="276" w:lineRule="auto"/>
      <w:outlineLvl w:val="0"/>
    </w:pPr>
    <w:rPr>
      <w:rFonts w:asciiTheme="majorHAnsi" w:eastAsiaTheme="majorEastAsia" w:hAnsiTheme="majorHAnsi" w:cstheme="majorBidi" w:ascii="Arial" w:hAnsi="Arial"/>
      <w:b/>
      <w:bCs/>
      <w:color w:val="0F172A"/>
      <w:sz w:val="32"/>
      <w:szCs w:val="28"/>
    </w:rPr>
  </w:style>
  <w:style w:type="paragraph" w:styleId="Heading2">
    <w:name w:val="heading 2"/>
    <w:basedOn w:val="Normal"/>
    <w:next w:val="Normal"/>
    <w:link w:val="Heading2Char"/>
    <w:uiPriority w:val="9"/>
    <w:unhideWhenUsed/>
    <w:qFormat/>
    <w:rsid w:val="00FC693F"/>
    <w:pPr>
      <w:keepNext/>
      <w:keepLines/>
      <w:spacing w:before="280" w:after="80" w:line="276" w:lineRule="auto"/>
      <w:outlineLvl w:val="1"/>
    </w:pPr>
    <w:rPr>
      <w:rFonts w:asciiTheme="majorHAnsi" w:eastAsiaTheme="majorEastAsia" w:hAnsiTheme="majorHAnsi" w:cstheme="majorBidi" w:ascii="Arial" w:hAnsi="Arial"/>
      <w:b/>
      <w:bCs/>
      <w:color w:val="1E3A8A"/>
      <w:sz w:val="26"/>
      <w:szCs w:val="26"/>
    </w:rPr>
  </w:style>
  <w:style w:type="paragraph" w:styleId="Heading3">
    <w:name w:val="heading 3"/>
    <w:basedOn w:val="Normal"/>
    <w:next w:val="Normal"/>
    <w:link w:val="Heading3Char"/>
    <w:uiPriority w:val="9"/>
    <w:unhideWhenUsed/>
    <w:qFormat/>
    <w:rsid w:val="00FC693F"/>
    <w:pPr>
      <w:keepNext/>
      <w:keepLines/>
      <w:spacing w:before="200" w:after="60" w:line="276" w:lineRule="auto"/>
      <w:outlineLvl w:val="2"/>
    </w:pPr>
    <w:rPr>
      <w:rFonts w:asciiTheme="majorHAnsi" w:eastAsiaTheme="majorEastAsia" w:hAnsiTheme="majorHAnsi" w:cstheme="majorBidi" w:ascii="Arial" w:hAnsi="Arial"/>
      <w:b/>
      <w:bCs/>
      <w:color w:val="33415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