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SUPPLY AGREEMENT</w:t>
      </w:r>
    </w:p>
    <w:p>
      <w:r>
        <w:t>This Supply Agreement is made between Nordwind Industrie GmbH (the "Buyer") and Ravenna Frontier Trading Pte Ltd (the "Seller").</w:t>
      </w:r>
    </w:p>
    <w:p>
      <w:pPr>
        <w:pStyle w:val="Heading2"/>
      </w:pPr>
      <w:r>
        <w:t>1. SUPPLY OF GOODS</w:t>
      </w:r>
    </w:p>
    <w:p>
      <w:r>
        <w:t>The Seller shall supply the components listed in Annex A in the quantities called off by the Buyer. The Seller shall deliver DAP Hamburg in accordance with Incoterms 2020.</w:t>
      </w:r>
    </w:p>
    <w:p>
      <w:pPr>
        <w:pStyle w:val="Heading2"/>
      </w:pPr>
      <w:r>
        <w:t>2. TERM</w:t>
      </w:r>
    </w:p>
    <w:p>
      <w:r>
        <w:t>This Agreement is effective as of 15 January 2026 and shall continue until 14 January 2028.</w:t>
      </w:r>
    </w:p>
    <w:p>
      <w:pPr>
        <w:pStyle w:val="Heading2"/>
      </w:pPr>
      <w:r>
        <w:t>3. TERMINATION</w:t>
      </w:r>
    </w:p>
    <w:p>
      <w:r>
        <w:t>The Buyer may terminate this Agreement for convenience on 60 days written notice. The Seller may terminate for material breach that is not remedied within 45 days of written notice.</w:t>
      </w:r>
    </w:p>
    <w:p>
      <w:pPr>
        <w:pStyle w:val="Heading2"/>
      </w:pPr>
      <w:r>
        <w:t>4. PRICES</w:t>
      </w:r>
    </w:p>
    <w:p>
      <w:r>
        <w:t>Prices are as set out in the price list in Annex B and are firm for the first contract year. The Seller may adjust prices annually by no more than 3 per cent on 90 days written notice.</w:t>
      </w:r>
    </w:p>
    <w:p>
      <w:pPr>
        <w:pStyle w:val="Heading2"/>
      </w:pPr>
      <w:r>
        <w:t>5. PAYMENT TERMS</w:t>
      </w:r>
    </w:p>
    <w:p>
      <w:r>
        <w:t>The Buyer shall pay each undisputed invoice within 45 days of receipt of the invoice.</w:t>
      </w:r>
    </w:p>
    <w:p>
      <w:pPr>
        <w:pStyle w:val="Heading2"/>
      </w:pPr>
      <w:r>
        <w:t>6. QUALITY AND INSPECTION</w:t>
      </w:r>
    </w:p>
    <w:p>
      <w:r>
        <w:t>The Seller shall supply Goods conforming to the specification in Annex A. The Buyer may inspect the Goods within 10 business days of delivery and shall notify the Seller of any defect.</w:t>
      </w:r>
    </w:p>
    <w:p>
      <w:pPr>
        <w:pStyle w:val="Heading2"/>
      </w:pPr>
      <w:r>
        <w:t>7. LIABILITY</w:t>
      </w:r>
    </w:p>
    <w:p>
      <w:r>
        <w:t>The Seller shall have unlimited liability for any breach of this Agreement, including all direct and indirect loss suffered by the Buyer. No limitation of liability applies to the Seller under this Agreement.</w:t>
      </w:r>
    </w:p>
    <w:p>
      <w:pPr>
        <w:pStyle w:val="Heading2"/>
      </w:pPr>
      <w:r>
        <w:t>8. INDEMNITY</w:t>
      </w:r>
    </w:p>
    <w:p>
      <w:r>
        <w:t>The Seller shall indemnify the Buyer against all third party claims arising from a defect in the Goods, including reasonable legal costs.</w:t>
      </w:r>
    </w:p>
    <w:p>
      <w:pPr>
        <w:pStyle w:val="Heading2"/>
      </w:pPr>
      <w:r>
        <w:t>9. CONFIDENTIALITY</w:t>
      </w:r>
    </w:p>
    <w:p>
      <w:r>
        <w:t>Each party shall treat the commercial terms of this Agreement as confidential and shall not disclose them to any third party without the other party's prior written consent.</w:t>
      </w:r>
    </w:p>
    <w:p>
      <w:pPr>
        <w:pStyle w:val="Heading2"/>
      </w:pPr>
      <w:r>
        <w:t>10. INSURANCE</w:t>
      </w:r>
    </w:p>
    <w:p>
      <w:r>
        <w:t>The Seller shall maintain product liability insurance with a minimum sum insured of EUR 1,000,000 per occurrence.</w:t>
      </w:r>
    </w:p>
    <w:p>
      <w:pPr>
        <w:pStyle w:val="Heading2"/>
      </w:pPr>
      <w:r>
        <w:t>11. ASSIGNMENT</w:t>
      </w:r>
    </w:p>
    <w:p>
      <w:r>
        <w:t>The Seller may assign this Agreement, and may transfer this Agreement to any third party, at its sole discretion. No consent of the Buyer is required for such an assignment.</w:t>
      </w:r>
    </w:p>
    <w:p>
      <w:pPr>
        <w:pStyle w:val="Heading2"/>
      </w:pPr>
      <w:r>
        <w:t>12. FORCE MAJEURE</w:t>
      </w:r>
    </w:p>
    <w:p>
      <w:r>
        <w:t>Neither party is liable for a delay caused by an event beyond its reasonable control.</w:t>
      </w:r>
    </w:p>
    <w:p>
      <w:pPr>
        <w:pStyle w:val="Heading2"/>
      </w:pPr>
      <w:r>
        <w:t>13. GOVERNING LAW</w:t>
      </w:r>
    </w:p>
    <w:p>
      <w:r>
        <w:t>This Agreement is governed by the laws of Singapore.</w:t>
      </w:r>
    </w:p>
    <w:p>
      <w:pPr>
        <w:pStyle w:val="Heading2"/>
      </w:pPr>
      <w:r>
        <w:t>14. DISPUTE RESOLUTION</w:t>
      </w:r>
    </w:p>
    <w:p>
      <w:r>
        <w:t>Any dispute arising out of this Agreement shall be finally settled by arbitration in Singapore under the rules of the Singapore International Arbitration Centre.</w:t>
      </w:r>
    </w:p>
    <w:p>
      <w:r>
        <w:t>Signed on 8 January 2026.</w:t>
      </w:r>
    </w:p>
    <w:p>
      <w:pPr>
        <w:pStyle w:val="Heading2"/>
      </w:pPr>
      <w:r>
        <w:t>SCHEDULE 1 - COVERED ITEMS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Description</w:t>
            </w:r>
          </w:p>
        </w:tc>
        <w:tc>
          <w:tcPr>
            <w:tcW w:type="dxa" w:w="2880"/>
          </w:tcPr>
          <w:p>
            <w:r>
              <w:t>Unit</w:t>
            </w:r>
          </w:p>
        </w:tc>
      </w:tr>
      <w:tr>
        <w:tc>
          <w:tcPr>
            <w:tcW w:type="dxa" w:w="2880"/>
          </w:tcPr>
          <w:p>
            <w:r>
              <w:t>ITM-1001</w:t>
            </w:r>
          </w:p>
        </w:tc>
        <w:tc>
          <w:tcPr>
            <w:tcW w:type="dxa" w:w="2880"/>
          </w:tcPr>
          <w:p>
            <w:r>
              <w:t>Primary covered item</w:t>
            </w:r>
          </w:p>
        </w:tc>
        <w:tc>
          <w:tcPr>
            <w:tcW w:type="dxa" w:w="2880"/>
          </w:tcPr>
          <w:p>
            <w:r>
              <w:t>EA</w:t>
            </w:r>
          </w:p>
        </w:tc>
      </w:tr>
      <w:tr>
        <w:tc>
          <w:tcPr>
            <w:tcW w:type="dxa" w:w="2880"/>
          </w:tcPr>
          <w:p>
            <w:r>
              <w:t>ITM-1002</w:t>
            </w:r>
          </w:p>
        </w:tc>
        <w:tc>
          <w:tcPr>
            <w:tcW w:type="dxa" w:w="2880"/>
          </w:tcPr>
          <w:p>
            <w:r>
              <w:t>Secondary covered item</w:t>
            </w:r>
          </w:p>
        </w:tc>
        <w:tc>
          <w:tcPr>
            <w:tcW w:type="dxa" w:w="2880"/>
          </w:tcPr>
          <w:p>
            <w:r>
              <w:t>EA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