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is entered into between Nordwind Industrie GmbH and Meridian Alloy Works Ltd.</w:t>
      </w:r>
    </w:p>
    <w:p>
      <w:pPr>
        <w:pStyle w:val="Heading2"/>
      </w:pPr>
      <w:r>
        <w:t>1. PURPOSE</w:t>
      </w:r>
    </w:p>
    <w:p>
      <w:r>
        <w:t>The parties wish to exchange information in connection with a possible supply relationship.</w:t>
      </w:r>
    </w:p>
    <w:p>
      <w:pPr>
        <w:pStyle w:val="Heading2"/>
      </w:pPr>
      <w:r>
        <w:t>2. TERM</w:t>
      </w:r>
    </w:p>
    <w:p>
      <w:r>
        <w:t>This Agreement is effective as of 1 June 2026 and shall expire on 31 May 2029.</w:t>
      </w:r>
    </w:p>
    <w:p>
      <w:pPr>
        <w:pStyle w:val="Heading2"/>
      </w:pPr>
      <w:r>
        <w:t>3. CONFIDENTIALITY</w:t>
      </w:r>
    </w:p>
    <w:p>
      <w:r>
        <w:t>Each party shall keep the other party's Confidential Information confidential, shall use it only for the Purpose, and shall disclose it only to those of its employees who need to know it. Each party shall return or destroy the Confidential Information on written request.</w:t>
      </w:r>
    </w:p>
    <w:p>
      <w:pPr>
        <w:pStyle w:val="Heading2"/>
      </w:pPr>
      <w:r>
        <w:t>4. EXCLUSIONS</w:t>
      </w:r>
    </w:p>
    <w:p>
      <w:r>
        <w:t>Confidential Information does not include information that is public through no fault of the receiving party, or that the receiving party already held without a duty of confidence.</w:t>
      </w:r>
    </w:p>
    <w:p>
      <w:pPr>
        <w:pStyle w:val="Heading2"/>
      </w:pPr>
      <w:r>
        <w:t>5. DATA PROTECTION</w:t>
      </w:r>
    </w:p>
    <w:p>
      <w:r>
        <w:t>Where either party discloses personal data under this Agreement, the receiving party shall process that personal data in accordance with the General Data Protection Regulation.</w:t>
      </w:r>
    </w:p>
    <w:p>
      <w:pPr>
        <w:pStyle w:val="Heading2"/>
      </w:pPr>
      <w:r>
        <w:t>6. GOVERNING LAW</w:t>
      </w:r>
    </w:p>
    <w:p>
      <w:r>
        <w:t>This Agreement is governed by and construed in accordance with the laws of England and Wales.</w:t>
      </w:r>
    </w:p>
    <w:p>
      <w:r>
        <w:t>Signed on 28 May 2026.</w:t>
      </w:r>
    </w:p>
    <w:p>
      <w:pPr>
        <w:pStyle w:val="Heading2"/>
      </w:pPr>
      <w:r>
        <w:t>SCHEDULE 1 - COVERED ITEMS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Unit</w:t>
            </w:r>
          </w:p>
        </w:tc>
      </w:tr>
      <w:tr>
        <w:tc>
          <w:tcPr>
            <w:tcW w:type="dxa" w:w="2880"/>
          </w:tcPr>
          <w:p>
            <w:r>
              <w:t>ITM-1001</w:t>
            </w:r>
          </w:p>
        </w:tc>
        <w:tc>
          <w:tcPr>
            <w:tcW w:type="dxa" w:w="2880"/>
          </w:tcPr>
          <w:p>
            <w:r>
              <w:t>Primary covered item</w:t>
            </w:r>
          </w:p>
        </w:tc>
        <w:tc>
          <w:tcPr>
            <w:tcW w:type="dxa" w:w="2880"/>
          </w:tcPr>
          <w:p>
            <w:r>
              <w:t>EA</w:t>
            </w:r>
          </w:p>
        </w:tc>
      </w:tr>
      <w:tr>
        <w:tc>
          <w:tcPr>
            <w:tcW w:type="dxa" w:w="2880"/>
          </w:tcPr>
          <w:p>
            <w:r>
              <w:t>ITM-1002</w:t>
            </w:r>
          </w:p>
        </w:tc>
        <w:tc>
          <w:tcPr>
            <w:tcW w:type="dxa" w:w="2880"/>
          </w:tcPr>
          <w:p>
            <w:r>
              <w:t>Secondary covered item</w:t>
            </w:r>
          </w:p>
        </w:tc>
        <w:tc>
          <w:tcPr>
            <w:tcW w:type="dxa" w:w="2880"/>
          </w:tcPr>
          <w:p>
            <w:r>
              <w:t>EA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