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PROFESSIONAL SERVICES AGREEMENT</w:t>
      </w:r>
    </w:p>
    <w:p>
      <w:r>
        <w:t>This Professional Services Agreement is entered into between Nordwind Industrie GmbH (the "Client") and Baltic Ridge Consulting Oy (the "Consultant").</w:t>
      </w:r>
    </w:p>
    <w:p>
      <w:pPr>
        <w:pStyle w:val="Heading2"/>
      </w:pPr>
      <w:r>
        <w:t>1. SERVICES</w:t>
      </w:r>
    </w:p>
    <w:p>
      <w:r>
        <w:t>The Consultant shall perform the services described in each statement of work agreed under this Agreement. Each statement of work forms part of this Agreement.</w:t>
      </w:r>
    </w:p>
    <w:p>
      <w:pPr>
        <w:pStyle w:val="Heading2"/>
      </w:pPr>
      <w:r>
        <w:t>2. TERM</w:t>
      </w:r>
    </w:p>
    <w:p>
      <w:r>
        <w:t>This Agreement is effective as of 1 March 2026 and shall remain in force until 28 February 2030. This Agreement does not renew automatically; any extension must be agreed in writing.</w:t>
      </w:r>
    </w:p>
    <w:p>
      <w:pPr>
        <w:pStyle w:val="Heading2"/>
      </w:pPr>
      <w:r>
        <w:t>3. TERMINATION</w:t>
      </w:r>
    </w:p>
    <w:p>
      <w:r>
        <w:t>Either party may terminate this Agreement for convenience on 90 days written notice. Either party may terminate for a material breach that is not remedied within 30 days of written notice. On termination the Consultant shall deliver all work in progress.</w:t>
      </w:r>
    </w:p>
    <w:p>
      <w:pPr>
        <w:pStyle w:val="Heading2"/>
      </w:pPr>
      <w:r>
        <w:t>4. FEES AND PRICING</w:t>
      </w:r>
    </w:p>
    <w:p>
      <w:r>
        <w:t>The Consultant's rates are set out in the rate card in Schedule 1 and are firm for the first two contract years. Rates are exclusive of VAT and of pre-approved travel expenses.</w:t>
      </w:r>
    </w:p>
    <w:p>
      <w:pPr>
        <w:pStyle w:val="Heading2"/>
      </w:pPr>
      <w:r>
        <w:t>5. PAYMENT TERMS</w:t>
      </w:r>
    </w:p>
    <w:p>
      <w:r>
        <w:t>The Client shall pay each undisputed invoice net 30 days from the date of invoice. Invoices are issued monthly in arrears against an approved timesheet.</w:t>
      </w:r>
    </w:p>
    <w:p>
      <w:pPr>
        <w:pStyle w:val="Heading2"/>
      </w:pPr>
      <w:r>
        <w:t>6. SERVICE LEVELS</w:t>
      </w:r>
    </w:p>
    <w:p>
      <w:r>
        <w:t>The Consultant shall acknowledge a written request from the Client within one business day and shall provide a monthly progress report by the fifth business day of the following month.</w:t>
      </w:r>
    </w:p>
    <w:p>
      <w:pPr>
        <w:pStyle w:val="Heading2"/>
      </w:pPr>
      <w:r>
        <w:t>7. SERVICE CREDITS</w:t>
      </w:r>
    </w:p>
    <w:p>
      <w:r>
        <w:t>If the Consultant fails to deliver an agreed milestone by its due date, the Client is entitled to a service credit of 2 per cent of the milestone fee per week of delay, capped at 10 per cent of the milestone fee.</w:t>
      </w:r>
    </w:p>
    <w:p>
      <w:pPr>
        <w:pStyle w:val="Heading2"/>
      </w:pPr>
      <w:r>
        <w:t>8. LIMITATION OF LIABILITY</w:t>
      </w:r>
    </w:p>
    <w:p>
      <w:r>
        <w:t>The total aggregate liability of each party under this Agreement shall not exceed EUR 1,000,000 or the fees paid in the preceding twelve months, whichever is the greater. Neither party is liable for indirect or consequential loss.</w:t>
      </w:r>
    </w:p>
    <w:p>
      <w:pPr>
        <w:pStyle w:val="Heading2"/>
      </w:pPr>
      <w:r>
        <w:t>9. INDEMNIFICATION</w:t>
      </w:r>
    </w:p>
    <w:p>
      <w:r>
        <w:t>Each party shall indemnify and hold harmless the other party against third party claims arising from its own negligence or wilful misconduct.</w:t>
      </w:r>
    </w:p>
    <w:p>
      <w:pPr>
        <w:pStyle w:val="Heading2"/>
      </w:pPr>
      <w:r>
        <w:t>10. CONFIDENTIALITY</w:t>
      </w:r>
    </w:p>
    <w:p>
      <w:r>
        <w:t>Each party shall keep the other party's Confidential Information confidential for a period of three years after the end of this Agreement and shall return or destroy it on request.</w:t>
      </w:r>
    </w:p>
    <w:p>
      <w:pPr>
        <w:pStyle w:val="Heading2"/>
      </w:pPr>
      <w:r>
        <w:t>11. DATA PROTECTION</w:t>
      </w:r>
    </w:p>
    <w:p>
      <w:r>
        <w:t>Where the Consultant processes personal data on behalf of the Client, the Consultant acts as data processor. The parties shall comply with the General Data Protection Regulation and with the data processing agreement in Schedule 3, which sets out the technical and organisational measures the Consultant maintains.</w:t>
      </w:r>
    </w:p>
    <w:p>
      <w:pPr>
        <w:pStyle w:val="Heading2"/>
      </w:pPr>
      <w:r>
        <w:t>12. INSURANCE</w:t>
      </w:r>
    </w:p>
    <w:p>
      <w:r>
        <w:t>The Consultant shall maintain professional indemnity insurance with a minimum cover of EUR 2,000,000 in the aggregate and shall provide a certificate of insurance on request.</w:t>
      </w:r>
    </w:p>
    <w:p>
      <w:pPr>
        <w:pStyle w:val="Heading2"/>
      </w:pPr>
      <w:r>
        <w:t>13. AUDIT RIGHTS</w:t>
      </w:r>
    </w:p>
    <w:p>
      <w:r>
        <w:t>The Client may audit the Consultant's records relating to the fees charged under this Agreement once per calendar year, on reasonable notice and during normal business hours.</w:t>
      </w:r>
    </w:p>
    <w:p>
      <w:pPr>
        <w:pStyle w:val="Heading2"/>
      </w:pPr>
      <w:r>
        <w:t>14. ASSIGNMENT</w:t>
      </w:r>
    </w:p>
    <w:p>
      <w:r>
        <w:t>Neither party may assign this Agreement without the prior written consent of the other party.</w:t>
      </w:r>
    </w:p>
    <w:p>
      <w:pPr>
        <w:pStyle w:val="Heading2"/>
      </w:pPr>
      <w:r>
        <w:t>15. FORCE MAJEURE</w:t>
      </w:r>
    </w:p>
    <w:p>
      <w:r>
        <w:t>Neither party is liable for a failure to perform caused by an event beyond its reasonable control, provided it notifies the other party promptly.</w:t>
      </w:r>
    </w:p>
    <w:p>
      <w:pPr>
        <w:pStyle w:val="Heading2"/>
      </w:pPr>
      <w:r>
        <w:t>16. GOVERNING LAW</w:t>
      </w:r>
    </w:p>
    <w:p>
      <w:r>
        <w:t>This Agreement is governed by and construed in accordance with the laws of Finland.</w:t>
      </w:r>
    </w:p>
    <w:p>
      <w:pPr>
        <w:pStyle w:val="Heading2"/>
      </w:pPr>
      <w:r>
        <w:t>17. DISPUTE RESOLUTION</w:t>
      </w:r>
    </w:p>
    <w:p>
      <w:r>
        <w:t>The parties shall attempt to resolve any dispute by good faith negotiation. Failing resolution within 30 days, the dispute shall be finally settled by arbitration in Helsinki.</w:t>
      </w:r>
    </w:p>
    <w:p>
      <w:r>
        <w:t>Signed on 20 February 2026.</w:t>
      </w:r>
    </w:p>
    <w:p>
      <w:pPr>
        <w:pStyle w:val="Heading2"/>
      </w:pPr>
      <w:r>
        <w:t>SCHEDULE 1 - COVERED ITEMS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Unit</w:t>
            </w:r>
          </w:p>
        </w:tc>
      </w:tr>
      <w:tr>
        <w:tc>
          <w:tcPr>
            <w:tcW w:type="dxa" w:w="2880"/>
          </w:tcPr>
          <w:p>
            <w:r>
              <w:t>ITM-1001</w:t>
            </w:r>
          </w:p>
        </w:tc>
        <w:tc>
          <w:tcPr>
            <w:tcW w:type="dxa" w:w="2880"/>
          </w:tcPr>
          <w:p>
            <w:r>
              <w:t>Primary covered item</w:t>
            </w:r>
          </w:p>
        </w:tc>
        <w:tc>
          <w:tcPr>
            <w:tcW w:type="dxa" w:w="2880"/>
          </w:tcPr>
          <w:p>
            <w:r>
              <w:t>EA</w:t>
            </w:r>
          </w:p>
        </w:tc>
      </w:tr>
      <w:tr>
        <w:tc>
          <w:tcPr>
            <w:tcW w:type="dxa" w:w="2880"/>
          </w:tcPr>
          <w:p>
            <w:r>
              <w:t>ITM-1002</w:t>
            </w:r>
          </w:p>
        </w:tc>
        <w:tc>
          <w:tcPr>
            <w:tcW w:type="dxa" w:w="2880"/>
          </w:tcPr>
          <w:p>
            <w:r>
              <w:t>Secondary covered item</w:t>
            </w:r>
          </w:p>
        </w:tc>
        <w:tc>
          <w:tcPr>
            <w:tcW w:type="dxa" w:w="2880"/>
          </w:tcPr>
          <w:p>
            <w:r>
              <w:t>EA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