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89" w:rsidRDefault="004D2B89" w:rsidP="004D2B89">
      <w:pPr>
        <w:pStyle w:val="Titolo1"/>
      </w:pPr>
      <w:bookmarkStart w:id="0" w:name="_Toc66796042"/>
      <w:bookmarkStart w:id="1" w:name="_Toc67058352"/>
      <w:r>
        <w:t>Funzioni applicative</w:t>
      </w:r>
      <w:bookmarkEnd w:id="0"/>
      <w:r>
        <w:t xml:space="preserve"> </w:t>
      </w:r>
      <w:r w:rsidR="00E85F0B">
        <w:t>ICI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4955022"/>
        <w:docPartObj>
          <w:docPartGallery w:val="Table of Contents"/>
          <w:docPartUnique/>
        </w:docPartObj>
      </w:sdtPr>
      <w:sdtContent>
        <w:p w:rsidR="00E85F0B" w:rsidRDefault="00E85F0B" w:rsidP="00E85F0B">
          <w:pPr>
            <w:pStyle w:val="Titolosommario"/>
          </w:pPr>
          <w:r>
            <w:t>Sommario</w:t>
          </w:r>
        </w:p>
        <w:p w:rsidR="00416AF1" w:rsidRDefault="00E85F0B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TOC \o \h \z \u </w:instrText>
          </w:r>
          <w:r>
            <w:rPr>
              <w:szCs w:val="18"/>
            </w:rPr>
            <w:fldChar w:fldCharType="separate"/>
          </w:r>
          <w:bookmarkStart w:id="2" w:name="_GoBack"/>
          <w:bookmarkEnd w:id="2"/>
          <w:r w:rsidR="00416AF1" w:rsidRPr="00633235">
            <w:rPr>
              <w:rStyle w:val="Collegamentoipertestuale"/>
              <w:noProof/>
            </w:rPr>
            <w:fldChar w:fldCharType="begin"/>
          </w:r>
          <w:r w:rsidR="00416AF1" w:rsidRPr="00633235">
            <w:rPr>
              <w:rStyle w:val="Collegamentoipertestuale"/>
              <w:noProof/>
            </w:rPr>
            <w:instrText xml:space="preserve"> </w:instrText>
          </w:r>
          <w:r w:rsidR="00416AF1">
            <w:rPr>
              <w:noProof/>
            </w:rPr>
            <w:instrText>HYPERLINK \l "_Toc67058352"</w:instrText>
          </w:r>
          <w:r w:rsidR="00416AF1" w:rsidRPr="00633235">
            <w:rPr>
              <w:rStyle w:val="Collegamentoipertestuale"/>
              <w:noProof/>
            </w:rPr>
            <w:instrText xml:space="preserve"> </w:instrText>
          </w:r>
          <w:r w:rsidR="00416AF1" w:rsidRPr="00633235">
            <w:rPr>
              <w:rStyle w:val="Collegamentoipertestuale"/>
              <w:noProof/>
            </w:rPr>
          </w:r>
          <w:r w:rsidR="00416AF1" w:rsidRPr="00633235">
            <w:rPr>
              <w:rStyle w:val="Collegamentoipertestuale"/>
              <w:noProof/>
            </w:rPr>
            <w:fldChar w:fldCharType="separate"/>
          </w:r>
          <w:r w:rsidR="00416AF1" w:rsidRPr="00633235">
            <w:rPr>
              <w:rStyle w:val="Collegamentoipertestuale"/>
              <w:noProof/>
            </w:rPr>
            <w:t>Funzioni applicative ICI</w:t>
          </w:r>
          <w:r w:rsidR="00416AF1">
            <w:rPr>
              <w:noProof/>
              <w:webHidden/>
            </w:rPr>
            <w:tab/>
          </w:r>
          <w:r w:rsidR="00416AF1">
            <w:rPr>
              <w:noProof/>
              <w:webHidden/>
            </w:rPr>
            <w:fldChar w:fldCharType="begin"/>
          </w:r>
          <w:r w:rsidR="00416AF1">
            <w:rPr>
              <w:noProof/>
              <w:webHidden/>
            </w:rPr>
            <w:instrText xml:space="preserve"> PAGEREF _Toc67058352 \h </w:instrText>
          </w:r>
          <w:r w:rsidR="00416AF1">
            <w:rPr>
              <w:noProof/>
              <w:webHidden/>
            </w:rPr>
          </w:r>
          <w:r w:rsidR="00416AF1">
            <w:rPr>
              <w:noProof/>
              <w:webHidden/>
            </w:rPr>
            <w:fldChar w:fldCharType="separate"/>
          </w:r>
          <w:r w:rsidR="00416AF1">
            <w:rPr>
              <w:noProof/>
              <w:webHidden/>
            </w:rPr>
            <w:t>1</w:t>
          </w:r>
          <w:r w:rsidR="00416AF1">
            <w:rPr>
              <w:noProof/>
              <w:webHidden/>
            </w:rPr>
            <w:fldChar w:fldCharType="end"/>
          </w:r>
          <w:r w:rsidR="00416AF1" w:rsidRPr="00633235">
            <w:rPr>
              <w:rStyle w:val="Collegamentoipertestuale"/>
              <w:noProof/>
            </w:rPr>
            <w:fldChar w:fldCharType="end"/>
          </w:r>
        </w:p>
        <w:p w:rsidR="00416AF1" w:rsidRDefault="00416AF1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53" w:history="1">
            <w:r w:rsidRPr="00633235">
              <w:rPr>
                <w:rStyle w:val="Collegamentoipertestuale"/>
                <w:noProof/>
              </w:rPr>
              <w:t>Tributi - ICI/IMU/TASI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54" w:history="1">
            <w:r w:rsidRPr="00633235">
              <w:rPr>
                <w:rStyle w:val="Collegamentoipertestuale"/>
                <w:noProof/>
              </w:rPr>
              <w:t>Dichiarazioni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55" w:history="1">
            <w:r w:rsidRPr="00633235">
              <w:rPr>
                <w:rStyle w:val="Collegamentoipertestuale"/>
                <w:noProof/>
              </w:rPr>
              <w:t>Integrazione con la cartografia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56" w:history="1">
            <w:r w:rsidRPr="00633235">
              <w:rPr>
                <w:rStyle w:val="Collegamentoipertestuale"/>
                <w:noProof/>
              </w:rPr>
              <w:t>Duplicazione di una dichiarazione 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57" w:history="1">
            <w:r w:rsidRPr="00633235">
              <w:rPr>
                <w:rStyle w:val="Collegamentoipertestuale"/>
                <w:noProof/>
              </w:rPr>
              <w:t>Calcolo ICI/IMU/TASI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58" w:history="1">
            <w:r w:rsidRPr="00633235">
              <w:rPr>
                <w:rStyle w:val="Collegamentoipertestuale"/>
                <w:noProof/>
              </w:rPr>
              <w:t>Configurazione Aliquote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59" w:history="1">
            <w:r w:rsidRPr="00633235">
              <w:rPr>
                <w:rStyle w:val="Collegamentoipertestuale"/>
                <w:noProof/>
              </w:rPr>
              <w:t>Calcolo Puntuale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0" w:history="1">
            <w:r w:rsidRPr="00633235">
              <w:rPr>
                <w:rStyle w:val="Collegamentoipertestuale"/>
                <w:noProof/>
              </w:rPr>
              <w:t>Calcolo Massivo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1" w:history="1">
            <w:r w:rsidRPr="00633235">
              <w:rPr>
                <w:rStyle w:val="Collegamentoipertestuale"/>
                <w:noProof/>
              </w:rPr>
              <w:t>Stato Elaboraz.Massivo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62" w:history="1">
            <w:r w:rsidRPr="00633235">
              <w:rPr>
                <w:rStyle w:val="Collegamentoipertestuale"/>
                <w:noProof/>
              </w:rPr>
              <w:t>Versamenti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3" w:history="1">
            <w:r w:rsidRPr="00633235">
              <w:rPr>
                <w:rStyle w:val="Collegamentoipertestuale"/>
                <w:noProof/>
              </w:rPr>
              <w:t>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4" w:history="1">
            <w:r w:rsidRPr="00633235">
              <w:rPr>
                <w:rStyle w:val="Collegamentoipertestuale"/>
                <w:noProof/>
              </w:rPr>
              <w:t>Acquisizione Automatica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65" w:history="1">
            <w:r w:rsidRPr="00633235">
              <w:rPr>
                <w:rStyle w:val="Collegamentoipertestuale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6" w:history="1">
            <w:r w:rsidRPr="00633235">
              <w:rPr>
                <w:rStyle w:val="Collegamentoipertestuale"/>
                <w:noProof/>
              </w:rPr>
              <w:t>Versamenti Non Abbinati a Dichiarazioni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7" w:history="1">
            <w:r w:rsidRPr="00633235">
              <w:rPr>
                <w:rStyle w:val="Collegamentoipertestuale"/>
                <w:noProof/>
              </w:rPr>
              <w:t>Controlli Rif.Catastali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8" w:history="1">
            <w:r w:rsidRPr="00633235">
              <w:rPr>
                <w:rStyle w:val="Collegamentoipertestuale"/>
                <w:noProof/>
              </w:rPr>
              <w:t>Utenti Non Pagato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69" w:history="1">
            <w:r w:rsidRPr="00633235">
              <w:rPr>
                <w:rStyle w:val="Collegamentoipertestuale"/>
                <w:noProof/>
              </w:rPr>
              <w:t>Utenti Pagato Diverso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70" w:history="1">
            <w:r w:rsidRPr="00633235">
              <w:rPr>
                <w:rStyle w:val="Collegamentoipertestuale"/>
                <w:noProof/>
              </w:rPr>
              <w:t>Economiche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71" w:history="1">
            <w:r w:rsidRPr="00633235">
              <w:rPr>
                <w:rStyle w:val="Collegamentoipertestuale"/>
                <w:noProof/>
              </w:rPr>
              <w:t>Rimborsi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F1" w:rsidRDefault="00416AF1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2" w:history="1">
            <w:r w:rsidRPr="00633235">
              <w:rPr>
                <w:rStyle w:val="Collegamentoipertestuale"/>
                <w:noProof/>
              </w:rPr>
              <w:t>Ravvedimento Operoso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F0B" w:rsidRDefault="00E85F0B" w:rsidP="00E85F0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end"/>
          </w:r>
        </w:p>
      </w:sdtContent>
    </w:sdt>
    <w:p w:rsidR="00E85F0B" w:rsidRDefault="00E85F0B" w:rsidP="00E85F0B"/>
    <w:p w:rsidR="004D2B89" w:rsidRPr="00305390" w:rsidRDefault="004D2B89" w:rsidP="004D2B89">
      <w:pPr>
        <w:pageBreakBefore/>
      </w:pPr>
      <w:r>
        <w:lastRenderedPageBreak/>
        <w:t xml:space="preserve">Elenco di tutte le voci di </w:t>
      </w:r>
      <w:proofErr w:type="spellStart"/>
      <w:r>
        <w:t>menù</w:t>
      </w:r>
      <w:proofErr w:type="spellEnd"/>
      <w:r w:rsidR="00E85F0B">
        <w:t xml:space="preserve"> implementate.</w:t>
      </w:r>
    </w:p>
    <w:p w:rsidR="004D2B89" w:rsidRDefault="004D2B89" w:rsidP="004D2B89">
      <w:pPr>
        <w:pStyle w:val="Titolo2"/>
      </w:pPr>
      <w:bookmarkStart w:id="3" w:name="_Toc66796074"/>
      <w:bookmarkStart w:id="4" w:name="_Toc67058353"/>
      <w:r>
        <w:t>Tributi - ICI/IMU/TASI</w:t>
      </w:r>
      <w:bookmarkEnd w:id="3"/>
      <w:bookmarkEnd w:id="4"/>
    </w:p>
    <w:p w:rsidR="004D2B89" w:rsidRPr="004556A5" w:rsidRDefault="004D2B89" w:rsidP="004D2B89">
      <w:r>
        <w:t>Permette di gestire i dati dichiarativi IMU e TASI oltre che i dati dei versamenti e calcolare il dovuto.</w:t>
      </w:r>
    </w:p>
    <w:p w:rsidR="004D2B89" w:rsidRDefault="004D2B89" w:rsidP="004D2B89">
      <w:pPr>
        <w:pStyle w:val="Titolo3"/>
      </w:pPr>
      <w:bookmarkStart w:id="5" w:name="_Toc66796075"/>
      <w:bookmarkStart w:id="6" w:name="_Toc67058354"/>
      <w:r>
        <w:t>Dichiarazioni</w:t>
      </w:r>
      <w:bookmarkEnd w:id="5"/>
      <w:bookmarkEnd w:id="6"/>
    </w:p>
    <w:p w:rsidR="004D2B89" w:rsidRDefault="004D2B89" w:rsidP="004D2B89">
      <w:r>
        <w:t>Permette di inserire/modificare/cancellare/estrarre i dati dichiarativi; oltre alle opzioni base di gestione già elencate è possibile anche:</w:t>
      </w:r>
    </w:p>
    <w:p w:rsidR="004D2B89" w:rsidRPr="0053763E" w:rsidRDefault="004D2B89" w:rsidP="004D2B89">
      <w:pPr>
        <w:pStyle w:val="Paragrafoelenco"/>
        <w:numPr>
          <w:ilvl w:val="0"/>
          <w:numId w:val="2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visualizzare i dati GIS (sistema di cartografia esterno)</w:t>
      </w:r>
    </w:p>
    <w:p w:rsidR="004D2B89" w:rsidRPr="0053763E" w:rsidRDefault="004D2B89" w:rsidP="004D2B89">
      <w:pPr>
        <w:pStyle w:val="Paragrafoelenco"/>
        <w:numPr>
          <w:ilvl w:val="0"/>
          <w:numId w:val="28"/>
        </w:numPr>
      </w:pPr>
      <w:r w:rsidRPr="0053763E">
        <w:t>visualizzare i DOCFA</w:t>
      </w:r>
    </w:p>
    <w:p w:rsidR="004D2B89" w:rsidRPr="0053763E" w:rsidRDefault="004D2B89" w:rsidP="004D2B89">
      <w:pPr>
        <w:pStyle w:val="Paragrafoelenco"/>
        <w:numPr>
          <w:ilvl w:val="0"/>
          <w:numId w:val="28"/>
        </w:numPr>
      </w:pPr>
      <w:r w:rsidRPr="0053763E">
        <w:t>visualizzare la situazione Territorio</w:t>
      </w:r>
    </w:p>
    <w:p w:rsidR="004D2B89" w:rsidRDefault="004D2B89" w:rsidP="004D2B89">
      <w:pPr>
        <w:pStyle w:val="Paragrafoelenco"/>
        <w:numPr>
          <w:ilvl w:val="0"/>
          <w:numId w:val="28"/>
        </w:numPr>
      </w:pPr>
      <w:r w:rsidRPr="0053763E">
        <w:t>duplicare l'immobile</w:t>
      </w:r>
    </w:p>
    <w:p w:rsidR="004D2B89" w:rsidRPr="0053763E" w:rsidRDefault="004D2B89" w:rsidP="004D2B89">
      <w:pPr>
        <w:pStyle w:val="Paragrafoelenco"/>
        <w:numPr>
          <w:ilvl w:val="0"/>
          <w:numId w:val="28"/>
        </w:numPr>
      </w:pPr>
      <w:r>
        <w:t>calcolare il dovuto</w:t>
      </w:r>
    </w:p>
    <w:p w:rsidR="00061E7C" w:rsidRDefault="00061E7C" w:rsidP="00061E7C">
      <w:bookmarkStart w:id="7" w:name="_Toc66796076"/>
      <w:r>
        <w:t>Nella gestione delle dichiarazioni e degli immobili sono stati aggiunti i seguenti pannelli:</w:t>
      </w:r>
    </w:p>
    <w:p w:rsidR="00061E7C" w:rsidRDefault="00061E7C" w:rsidP="00061E7C">
      <w:pPr>
        <w:pStyle w:val="Paragrafoelenco"/>
        <w:numPr>
          <w:ilvl w:val="0"/>
          <w:numId w:val="10"/>
        </w:numPr>
      </w:pPr>
      <w:r>
        <w:t xml:space="preserve">In gestione dichiarazioni pannello di </w:t>
      </w:r>
      <w:r w:rsidRPr="00061E7C">
        <w:rPr>
          <w:rStyle w:val="CitazioneCarattere"/>
        </w:rPr>
        <w:t>Visualizzazione Catasto</w:t>
      </w:r>
      <w:r>
        <w:t>: elenco degli immobili presenti a catasto per il soggetto.</w:t>
      </w:r>
    </w:p>
    <w:p w:rsidR="00061E7C" w:rsidRDefault="00061E7C" w:rsidP="00061E7C">
      <w:pPr>
        <w:pStyle w:val="Paragrafoelenco"/>
        <w:numPr>
          <w:ilvl w:val="0"/>
          <w:numId w:val="10"/>
        </w:numPr>
      </w:pPr>
      <w:r>
        <w:t xml:space="preserve">In gestione immobili pannello di </w:t>
      </w:r>
      <w:r w:rsidRPr="00061E7C">
        <w:rPr>
          <w:rStyle w:val="CitazioneCarattere"/>
        </w:rPr>
        <w:t>Visualizzazione Altri Proprietari</w:t>
      </w:r>
      <w:r>
        <w:t>: elenco dei proprietari presenti in banca dati tributaria per i riferimenti catastali indipendentemente dal periodo di possesso.</w:t>
      </w:r>
    </w:p>
    <w:p w:rsidR="00061E7C" w:rsidRDefault="00061E7C" w:rsidP="00061E7C">
      <w:pPr>
        <w:pStyle w:val="Paragrafoelenco"/>
        <w:numPr>
          <w:ilvl w:val="0"/>
          <w:numId w:val="10"/>
        </w:numPr>
      </w:pPr>
      <w:r>
        <w:t xml:space="preserve">In gestione immobili pannello di </w:t>
      </w:r>
      <w:r w:rsidRPr="00061E7C">
        <w:rPr>
          <w:rStyle w:val="CitazioneCarattere"/>
        </w:rPr>
        <w:t>Visualizzazione Catasto</w:t>
      </w:r>
      <w:r>
        <w:t>: elenco delle situazioni presenti a catasto per i riferimenti catastali.</w:t>
      </w:r>
    </w:p>
    <w:p w:rsidR="007665D1" w:rsidRPr="00927287" w:rsidRDefault="007665D1" w:rsidP="007665D1">
      <w:pPr>
        <w:pStyle w:val="Titolo4"/>
      </w:pPr>
      <w:bookmarkStart w:id="8" w:name="_Toc67058355"/>
      <w:r>
        <w:t>Integrazione con la cartografia</w:t>
      </w:r>
      <w:bookmarkEnd w:id="8"/>
    </w:p>
    <w:p w:rsidR="007665D1" w:rsidRDefault="007665D1" w:rsidP="007665D1">
      <w:pPr>
        <w:rPr>
          <w:noProof/>
          <w:lang w:eastAsia="it-IT"/>
        </w:rPr>
      </w:pPr>
      <w:r>
        <w:rPr>
          <w:noProof/>
          <w:lang w:eastAsia="it-IT"/>
        </w:rPr>
        <w:t xml:space="preserve">Dopo aver eseguito una ricerca con riferimenti catastali o per nominativo, il sistema produrrà il solito elenco di immobili e sarà possibile selezionare gli immobili da visualizzare in cartografia premendo il tasto in alto </w:t>
      </w:r>
      <w:r>
        <w:rPr>
          <w:noProof/>
          <w:lang w:eastAsia="it-IT"/>
        </w:rPr>
        <w:drawing>
          <wp:inline distT="0" distB="0" distL="0" distR="0" wp14:anchorId="12800959" wp14:editId="54F3484A">
            <wp:extent cx="250375" cy="246380"/>
            <wp:effectExtent l="0" t="0" r="0" b="1270"/>
            <wp:docPr id="12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2987" t="24347" r="5600" b="10353"/>
                    <a:stretch/>
                  </pic:blipFill>
                  <pic:spPr bwMode="auto">
                    <a:xfrm flipH="1">
                      <a:off x="0" y="0"/>
                      <a:ext cx="262729" cy="25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“Visualizza GIS”.</w:t>
      </w:r>
    </w:p>
    <w:p w:rsidR="007665D1" w:rsidRDefault="007665D1" w:rsidP="007665D1">
      <w:pPr>
        <w:rPr>
          <w:noProof/>
          <w:lang w:eastAsia="it-IT"/>
        </w:rPr>
      </w:pPr>
      <w:r>
        <w:rPr>
          <w:noProof/>
          <w:lang w:eastAsia="it-IT"/>
        </w:rPr>
        <w:t xml:space="preserve">A questo punto il sistema aprirà il collegamento alle viste del GIS evidenziando tutti  gli immobili presenti nella selezione </w:t>
      </w:r>
    </w:p>
    <w:p w:rsidR="007665D1" w:rsidRDefault="007665D1" w:rsidP="007665D1">
      <w:pPr>
        <w:rPr>
          <w:noProof/>
          <w:lang w:eastAsia="it-IT"/>
        </w:rPr>
      </w:pPr>
      <w:r>
        <w:rPr>
          <w:lang w:eastAsia="it-IT"/>
        </w:rPr>
        <w:t xml:space="preserve">Analogamente alla videata di ricerca immobili, troveremo il tasto </w:t>
      </w:r>
      <w:r>
        <w:rPr>
          <w:noProof/>
          <w:lang w:eastAsia="it-IT"/>
        </w:rPr>
        <w:t>“Visualizza GIS” che farà accedere al dettaglio cartografico degli immobili del soggetto o di quelli per lui selezionati.</w:t>
      </w:r>
    </w:p>
    <w:p w:rsidR="007665D1" w:rsidRDefault="007665D1" w:rsidP="007665D1">
      <w:pPr>
        <w:pStyle w:val="Titolo4"/>
      </w:pPr>
      <w:bookmarkStart w:id="9" w:name="_Toc67058356"/>
      <w:r>
        <w:t>Duplicazione di una dichiarazione IMU</w:t>
      </w:r>
      <w:bookmarkEnd w:id="9"/>
    </w:p>
    <w:p w:rsidR="007665D1" w:rsidRDefault="007665D1" w:rsidP="009C0FBA">
      <w:pPr>
        <w:rPr>
          <w:lang w:eastAsia="it-IT"/>
        </w:rPr>
      </w:pPr>
      <w:r w:rsidRPr="00E10EC9">
        <w:rPr>
          <w:lang w:eastAsia="it-IT"/>
        </w:rPr>
        <w:t>La vide</w:t>
      </w:r>
      <w:r>
        <w:rPr>
          <w:lang w:eastAsia="it-IT"/>
        </w:rPr>
        <w:t xml:space="preserve">ata di Gestione dichiarazione è stata modificata con l’inserimento dei seguenti pulsanti </w:t>
      </w:r>
    </w:p>
    <w:p w:rsidR="007665D1" w:rsidRDefault="007665D1" w:rsidP="009C0FBA">
      <w:pPr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14291820" wp14:editId="078F43EB">
            <wp:extent cx="2057400" cy="523875"/>
            <wp:effectExtent l="19050" t="0" r="0" b="0"/>
            <wp:docPr id="175" name="Immagin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1E2D3C01" wp14:editId="4863BD97">
            <wp:extent cx="1409700" cy="523875"/>
            <wp:effectExtent l="19050" t="0" r="0" b="0"/>
            <wp:docPr id="33" name="Immagin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56D31C8" wp14:editId="391B9D06">
            <wp:extent cx="2941955" cy="691515"/>
            <wp:effectExtent l="19050" t="0" r="0" b="0"/>
            <wp:docPr id="176" name="Immagin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D1" w:rsidRPr="00E00414" w:rsidRDefault="007665D1" w:rsidP="007665D1">
      <w:pPr>
        <w:rPr>
          <w:lang w:eastAsia="it-IT"/>
        </w:rPr>
      </w:pPr>
      <w:r>
        <w:rPr>
          <w:lang w:eastAsia="it-IT"/>
        </w:rPr>
        <w:t xml:space="preserve">Qualora si clicchi sull’ultimo tasto il sistema chiederà </w:t>
      </w:r>
      <w:r w:rsidR="009C0FBA">
        <w:rPr>
          <w:lang w:eastAsia="it-IT"/>
        </w:rPr>
        <w:t>conferma sul comando di voltura, i</w:t>
      </w:r>
      <w:r w:rsidRPr="001344AB">
        <w:rPr>
          <w:lang w:eastAsia="it-IT"/>
        </w:rPr>
        <w:t>n caso affermativo sarà possibile procedere con la ricerca ed associazione del nuovo utente</w:t>
      </w:r>
      <w:r w:rsidR="009C0FBA">
        <w:rPr>
          <w:lang w:eastAsia="it-IT"/>
        </w:rPr>
        <w:t>.</w:t>
      </w:r>
    </w:p>
    <w:p w:rsidR="004D2B89" w:rsidRPr="00061E7C" w:rsidRDefault="004D2B89" w:rsidP="004D2B89">
      <w:pPr>
        <w:pStyle w:val="Sottotitolo"/>
      </w:pPr>
      <w:r w:rsidRPr="00061E7C"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/Gestione.aspx</w:t>
      </w:r>
      <w:r w:rsidRPr="00061E7C">
        <w:t>.</w:t>
      </w:r>
      <w:bookmarkEnd w:id="7"/>
    </w:p>
    <w:p w:rsidR="004D2B89" w:rsidRDefault="004D2B89" w:rsidP="004D2B89">
      <w:pPr>
        <w:pStyle w:val="Titolo3"/>
      </w:pPr>
      <w:bookmarkStart w:id="10" w:name="_Toc66796077"/>
      <w:bookmarkStart w:id="11" w:name="_Toc67058357"/>
      <w:r>
        <w:t>Calcolo ICI/IMU/TASI</w:t>
      </w:r>
      <w:bookmarkEnd w:id="10"/>
      <w:bookmarkEnd w:id="11"/>
    </w:p>
    <w:p w:rsidR="004D2B89" w:rsidRPr="004556A5" w:rsidRDefault="004D2B89" w:rsidP="004D2B89">
      <w:r>
        <w:t>Permette di configurare i parametri e calcolare il dovuto.</w:t>
      </w:r>
    </w:p>
    <w:p w:rsidR="004D2B89" w:rsidRDefault="004D2B89" w:rsidP="004D2B89">
      <w:pPr>
        <w:pStyle w:val="Titolo4"/>
      </w:pPr>
      <w:bookmarkStart w:id="12" w:name="_Toc66796078"/>
      <w:bookmarkStart w:id="13" w:name="_Toc67058358"/>
      <w:r>
        <w:t>Configurazione Aliquote</w:t>
      </w:r>
      <w:bookmarkEnd w:id="12"/>
      <w:bookmarkEnd w:id="13"/>
      <w:r>
        <w:t xml:space="preserve"> </w:t>
      </w:r>
    </w:p>
    <w:p w:rsidR="004D2B89" w:rsidRPr="0077681D" w:rsidRDefault="004D2B89" w:rsidP="004D2B89">
      <w:r>
        <w:t>Permette di inserire/modificare/cancellare/duplicare le aliquote tariffarie.</w:t>
      </w:r>
    </w:p>
    <w:p w:rsidR="004D2B89" w:rsidRPr="00061E7C" w:rsidRDefault="004D2B89" w:rsidP="004D2B89">
      <w:pPr>
        <w:pStyle w:val="Sottotitolo"/>
      </w:pPr>
      <w:bookmarkStart w:id="14" w:name="_Toc66796079"/>
      <w:r w:rsidRPr="00061E7C"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</w:t>
      </w:r>
      <w:proofErr w:type="spellStart"/>
      <w:r w:rsidRPr="00061E7C">
        <w:rPr>
          <w:rStyle w:val="Enfasicorsivo"/>
        </w:rPr>
        <w:t>CalcoloICI</w:t>
      </w:r>
      <w:proofErr w:type="spellEnd"/>
      <w:r w:rsidRPr="00061E7C">
        <w:rPr>
          <w:rStyle w:val="Enfasicorsivo"/>
        </w:rPr>
        <w:t>/RicercaAliquote.aspx</w:t>
      </w:r>
      <w:r w:rsidRPr="00061E7C">
        <w:t>.</w:t>
      </w:r>
      <w:bookmarkEnd w:id="14"/>
    </w:p>
    <w:p w:rsidR="004D2B89" w:rsidRDefault="004D2B89" w:rsidP="004D2B89">
      <w:pPr>
        <w:pStyle w:val="Titolo4"/>
      </w:pPr>
      <w:bookmarkStart w:id="15" w:name="_Toc66796080"/>
      <w:bookmarkStart w:id="16" w:name="_Toc67058359"/>
      <w:r>
        <w:t>Calcolo Puntuale</w:t>
      </w:r>
      <w:bookmarkEnd w:id="15"/>
      <w:bookmarkEnd w:id="16"/>
    </w:p>
    <w:p w:rsidR="004D2B89" w:rsidRPr="0077681D" w:rsidRDefault="004D2B89" w:rsidP="004D2B89">
      <w:r>
        <w:t xml:space="preserve">Permette di calcolare e stampare il dovuto di un singolo contribuente. </w:t>
      </w:r>
      <w:r w:rsidRPr="00736832">
        <w:t>Blocco il calcolo se mancano i dati obbligatori; il calcolo vero e proprio viene fatto richiamando il servizio esterno</w:t>
      </w:r>
      <w:r>
        <w:t xml:space="preserve"> unico</w:t>
      </w:r>
      <w:r w:rsidRPr="00736832">
        <w:t xml:space="preserve"> in modalità sincrona.</w:t>
      </w:r>
    </w:p>
    <w:p w:rsidR="004D2B89" w:rsidRPr="00061E7C" w:rsidRDefault="004D2B89" w:rsidP="004D2B89">
      <w:pPr>
        <w:pStyle w:val="Sottotitolo"/>
      </w:pPr>
      <w:bookmarkStart w:id="17" w:name="_Toc66796081"/>
      <w:r w:rsidRPr="00061E7C"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</w:t>
      </w:r>
      <w:proofErr w:type="spellStart"/>
      <w:r w:rsidRPr="00061E7C">
        <w:rPr>
          <w:rStyle w:val="Enfasicorsivo"/>
        </w:rPr>
        <w:t>CalcoloICI</w:t>
      </w:r>
      <w:proofErr w:type="spellEnd"/>
      <w:r w:rsidRPr="00061E7C">
        <w:rPr>
          <w:rStyle w:val="Enfasicorsivo"/>
        </w:rPr>
        <w:t>/CalcoloICIPuntuale.aspx</w:t>
      </w:r>
      <w:r w:rsidRPr="00061E7C">
        <w:t>.</w:t>
      </w:r>
      <w:bookmarkEnd w:id="17"/>
    </w:p>
    <w:p w:rsidR="004D2B89" w:rsidRDefault="004D2B89" w:rsidP="004D2B89">
      <w:pPr>
        <w:pStyle w:val="Titolo4"/>
      </w:pPr>
      <w:bookmarkStart w:id="18" w:name="_Toc66796082"/>
      <w:bookmarkStart w:id="19" w:name="_Toc67058360"/>
      <w:r>
        <w:t>Calcolo Massivo</w:t>
      </w:r>
      <w:bookmarkEnd w:id="18"/>
      <w:bookmarkEnd w:id="19"/>
      <w:r>
        <w:t xml:space="preserve"> </w:t>
      </w:r>
    </w:p>
    <w:p w:rsidR="004D2B89" w:rsidRPr="0077681D" w:rsidRDefault="004D2B89" w:rsidP="004D2B89">
      <w:r>
        <w:t xml:space="preserve">Permette di calcolare e stampare il dovuto per tutti i contribuenti di un singolo anno. </w:t>
      </w:r>
      <w:r w:rsidRPr="00736832">
        <w:t>Blocco il calcolo se mancano i dati obbligatori; il calcolo vero e proprio viene fatto richiamando il servizio esterno</w:t>
      </w:r>
      <w:r>
        <w:t xml:space="preserve"> unico</w:t>
      </w:r>
      <w:r w:rsidRPr="00736832">
        <w:t xml:space="preserve"> in modalità </w:t>
      </w:r>
      <w:r>
        <w:t>a</w:t>
      </w:r>
      <w:r w:rsidRPr="00736832">
        <w:t>sincrona.</w:t>
      </w:r>
    </w:p>
    <w:p w:rsidR="004D2B89" w:rsidRPr="00061E7C" w:rsidRDefault="004D2B89" w:rsidP="004D2B89">
      <w:pPr>
        <w:pStyle w:val="Sottotitolo"/>
      </w:pPr>
      <w:bookmarkStart w:id="20" w:name="_Toc66796083"/>
      <w:r w:rsidRPr="00061E7C"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</w:t>
      </w:r>
      <w:proofErr w:type="spellStart"/>
      <w:r w:rsidRPr="00061E7C">
        <w:rPr>
          <w:rStyle w:val="Enfasicorsivo"/>
        </w:rPr>
        <w:t>CalcoloICI</w:t>
      </w:r>
      <w:proofErr w:type="spellEnd"/>
      <w:r w:rsidRPr="00061E7C">
        <w:rPr>
          <w:rStyle w:val="Enfasicorsivo"/>
        </w:rPr>
        <w:t>/CalcoloICIMassivo.aspx</w:t>
      </w:r>
      <w:r w:rsidRPr="00061E7C">
        <w:t>.</w:t>
      </w:r>
      <w:bookmarkEnd w:id="20"/>
    </w:p>
    <w:p w:rsidR="004D2B89" w:rsidRDefault="004D2B89" w:rsidP="004D2B89">
      <w:pPr>
        <w:pStyle w:val="Titolo4"/>
      </w:pPr>
      <w:bookmarkStart w:id="21" w:name="_Toc66796084"/>
      <w:bookmarkStart w:id="22" w:name="_Toc67058361"/>
      <w:r>
        <w:t xml:space="preserve">Stato </w:t>
      </w:r>
      <w:proofErr w:type="spellStart"/>
      <w:r>
        <w:t>Elaboraz.Massivo</w:t>
      </w:r>
      <w:bookmarkEnd w:id="21"/>
      <w:bookmarkEnd w:id="22"/>
      <w:proofErr w:type="spellEnd"/>
    </w:p>
    <w:p w:rsidR="004D2B89" w:rsidRPr="0077681D" w:rsidRDefault="004D2B89" w:rsidP="004D2B89">
      <w:r>
        <w:t>Permette di monitorare l’avanzamento del calcolo massivo e della storia delle elaborazioni.</w:t>
      </w:r>
    </w:p>
    <w:p w:rsidR="004D2B89" w:rsidRPr="00061E7C" w:rsidRDefault="004D2B89" w:rsidP="004D2B89">
      <w:pPr>
        <w:pStyle w:val="Sottotitolo"/>
      </w:pPr>
      <w:bookmarkStart w:id="23" w:name="_Toc66796085"/>
      <w:r w:rsidRPr="00061E7C">
        <w:t xml:space="preserve">Sorgente </w:t>
      </w:r>
      <w:r w:rsidRPr="00061E7C">
        <w:rPr>
          <w:rStyle w:val="Enfasicorsivo"/>
        </w:rPr>
        <w:t>OPENgovICI/CalcoloICI/GestioneElaborazione/GestioneElaborazione.aspx</w:t>
      </w:r>
      <w:r w:rsidRPr="00061E7C">
        <w:t>.</w:t>
      </w:r>
      <w:bookmarkEnd w:id="23"/>
    </w:p>
    <w:p w:rsidR="004D2B89" w:rsidRDefault="004D2B89" w:rsidP="004D2B89">
      <w:pPr>
        <w:pStyle w:val="Titolo3"/>
      </w:pPr>
      <w:bookmarkStart w:id="24" w:name="_Toc66796086"/>
      <w:bookmarkStart w:id="25" w:name="_Toc67058362"/>
      <w:r>
        <w:t>Versamenti</w:t>
      </w:r>
      <w:bookmarkEnd w:id="24"/>
      <w:bookmarkEnd w:id="25"/>
    </w:p>
    <w:p w:rsidR="004D2B89" w:rsidRPr="00923340" w:rsidRDefault="004D2B89" w:rsidP="004D2B89">
      <w:r>
        <w:t>Permette la gestione dei versamenti.</w:t>
      </w:r>
    </w:p>
    <w:p w:rsidR="004D2B89" w:rsidRDefault="004D2B89" w:rsidP="004D2B89">
      <w:pPr>
        <w:pStyle w:val="Titolo4"/>
      </w:pPr>
      <w:bookmarkStart w:id="26" w:name="_Toc66796087"/>
      <w:bookmarkStart w:id="27" w:name="_Toc67058363"/>
      <w:r>
        <w:t>Gestione</w:t>
      </w:r>
      <w:bookmarkEnd w:id="26"/>
      <w:bookmarkEnd w:id="27"/>
    </w:p>
    <w:p w:rsidR="004D2B89" w:rsidRPr="0077681D" w:rsidRDefault="004D2B89" w:rsidP="004D2B89">
      <w:r>
        <w:t>Permette inserire/modificare/cancellare/estrarre i versamenti in banca dati.</w:t>
      </w:r>
    </w:p>
    <w:p w:rsidR="004D2B89" w:rsidRPr="00061E7C" w:rsidRDefault="004D2B89" w:rsidP="004D2B89">
      <w:pPr>
        <w:pStyle w:val="Sottotitolo"/>
      </w:pPr>
      <w:bookmarkStart w:id="28" w:name="_Toc66796088"/>
      <w:r w:rsidRPr="00061E7C">
        <w:lastRenderedPageBreak/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/RicercaVersamenti.aspx</w:t>
      </w:r>
      <w:r w:rsidRPr="00061E7C">
        <w:t>.</w:t>
      </w:r>
      <w:bookmarkEnd w:id="28"/>
    </w:p>
    <w:p w:rsidR="004D2B89" w:rsidRDefault="004D2B89" w:rsidP="004D2B89">
      <w:pPr>
        <w:pStyle w:val="Titolo4"/>
      </w:pPr>
      <w:bookmarkStart w:id="29" w:name="_Toc66796089"/>
      <w:bookmarkStart w:id="30" w:name="_Toc67058364"/>
      <w:r>
        <w:t>Acquisizione Automatica</w:t>
      </w:r>
      <w:bookmarkEnd w:id="29"/>
      <w:bookmarkEnd w:id="30"/>
      <w:r>
        <w:t xml:space="preserve"> </w:t>
      </w:r>
    </w:p>
    <w:p w:rsidR="004D2B89" w:rsidRDefault="004D2B89" w:rsidP="004D2B89">
      <w:r>
        <w:t xml:space="preserve">Permette di importare i versamenti dei flussi F24. L’importazione viene fatta utilizzando la </w:t>
      </w:r>
      <w:proofErr w:type="spellStart"/>
      <w:r>
        <w:t>dll</w:t>
      </w:r>
      <w:proofErr w:type="spellEnd"/>
      <w:r>
        <w:t xml:space="preserve"> esterna </w:t>
      </w:r>
      <w:hyperlink w:anchor="_ImportazioneF24" w:history="1">
        <w:r w:rsidRPr="002B4E74">
          <w:rPr>
            <w:rStyle w:val="CitazioneCarattere"/>
          </w:rPr>
          <w:t>ImportazioneF24</w:t>
        </w:r>
      </w:hyperlink>
      <w:r>
        <w:t>.</w:t>
      </w:r>
    </w:p>
    <w:p w:rsidR="004D2B89" w:rsidRPr="0077681D" w:rsidRDefault="004D2B89" w:rsidP="004D2B89">
      <w:r>
        <w:t xml:space="preserve">Dopo l’importazione nella tabella di appoggio vengono richiamate le </w:t>
      </w:r>
      <w:proofErr w:type="spellStart"/>
      <w:r>
        <w:t>stored</w:t>
      </w:r>
      <w:proofErr w:type="spellEnd"/>
      <w:r>
        <w:t xml:space="preserve"> per l’abbinamento sul dovuto sempre tramite la </w:t>
      </w:r>
      <w:proofErr w:type="spellStart"/>
      <w:r>
        <w:t>ddl</w:t>
      </w:r>
      <w:proofErr w:type="spellEnd"/>
      <w:r>
        <w:t xml:space="preserve"> esterna.</w:t>
      </w:r>
    </w:p>
    <w:p w:rsidR="004D2B89" w:rsidRPr="00061E7C" w:rsidRDefault="004D2B89" w:rsidP="004D2B89">
      <w:pPr>
        <w:pStyle w:val="Sottotitolo"/>
      </w:pPr>
      <w:bookmarkStart w:id="31" w:name="_Toc66796090"/>
      <w:r w:rsidRPr="00061E7C">
        <w:t xml:space="preserve">Sorgente </w:t>
      </w:r>
      <w:proofErr w:type="spellStart"/>
      <w:r w:rsidRPr="00061E7C">
        <w:rPr>
          <w:rStyle w:val="Enfasicorsivo"/>
        </w:rPr>
        <w:t>OPENgovICI</w:t>
      </w:r>
      <w:proofErr w:type="spellEnd"/>
      <w:r w:rsidRPr="00061E7C">
        <w:rPr>
          <w:rStyle w:val="Enfasicorsivo"/>
        </w:rPr>
        <w:t>/AcquisizioneAutomaticaVersamenti.aspx</w:t>
      </w:r>
      <w:r w:rsidRPr="00061E7C">
        <w:t>.</w:t>
      </w:r>
      <w:bookmarkEnd w:id="31"/>
    </w:p>
    <w:p w:rsidR="004D2B89" w:rsidRDefault="004D2B89" w:rsidP="004D2B89">
      <w:pPr>
        <w:pStyle w:val="Titolo3"/>
      </w:pPr>
      <w:bookmarkStart w:id="32" w:name="_Toc66796091"/>
      <w:bookmarkStart w:id="33" w:name="_Toc67058365"/>
      <w:r>
        <w:t>Analisi</w:t>
      </w:r>
      <w:bookmarkEnd w:id="32"/>
      <w:bookmarkEnd w:id="33"/>
    </w:p>
    <w:p w:rsidR="004D2B89" w:rsidRPr="00265444" w:rsidRDefault="004D2B89" w:rsidP="004D2B89">
      <w:r>
        <w:t>Permette di effettuare analisi statistiche e di controllo sui versamenti e sulle dichiarazioni.</w:t>
      </w:r>
    </w:p>
    <w:p w:rsidR="004D2B89" w:rsidRDefault="004D2B89" w:rsidP="004D2B89">
      <w:pPr>
        <w:pStyle w:val="Titolo4"/>
      </w:pPr>
      <w:bookmarkStart w:id="34" w:name="_Toc66796092"/>
      <w:bookmarkStart w:id="35" w:name="_Toc67058366"/>
      <w:r>
        <w:t>Versamenti Non Abbinati a Dichiarazioni</w:t>
      </w:r>
      <w:bookmarkEnd w:id="34"/>
      <w:bookmarkEnd w:id="35"/>
    </w:p>
    <w:p w:rsidR="004D2B89" w:rsidRDefault="004D2B89" w:rsidP="004D2B89">
      <w:r>
        <w:t>Permette di estrarre tutti i versamenti non abbinati ad una dichiarazione.</w:t>
      </w:r>
    </w:p>
    <w:p w:rsidR="004D2B89" w:rsidRPr="00265444" w:rsidRDefault="004D2B89" w:rsidP="004D2B89">
      <w:pPr>
        <w:pStyle w:val="Sottotitolo"/>
      </w:pPr>
      <w:bookmarkStart w:id="36" w:name="_Toc66796093"/>
      <w:r>
        <w:t xml:space="preserve">Sorgente </w:t>
      </w:r>
      <w:proofErr w:type="spellStart"/>
      <w:r w:rsidRPr="00265444">
        <w:rPr>
          <w:rStyle w:val="Enfasicorsivo"/>
        </w:rPr>
        <w:t>OPENgovICI</w:t>
      </w:r>
      <w:proofErr w:type="spellEnd"/>
      <w:r w:rsidRPr="00265444">
        <w:rPr>
          <w:rStyle w:val="Enfasicorsivo"/>
        </w:rPr>
        <w:t>/versamentiNoDich.aspx</w:t>
      </w:r>
      <w:r>
        <w:t>.</w:t>
      </w:r>
      <w:bookmarkEnd w:id="36"/>
    </w:p>
    <w:p w:rsidR="004D2B89" w:rsidRDefault="004D2B89" w:rsidP="004D2B89">
      <w:pPr>
        <w:pStyle w:val="Titolo4"/>
      </w:pPr>
      <w:bookmarkStart w:id="37" w:name="_Toc66796094"/>
      <w:bookmarkStart w:id="38" w:name="_Toc67058367"/>
      <w:r>
        <w:t xml:space="preserve">Controlli </w:t>
      </w:r>
      <w:proofErr w:type="spellStart"/>
      <w:r>
        <w:t>Rif.Catastali</w:t>
      </w:r>
      <w:bookmarkEnd w:id="37"/>
      <w:bookmarkEnd w:id="38"/>
      <w:proofErr w:type="spellEnd"/>
    </w:p>
    <w:p w:rsidR="004D2B89" w:rsidRDefault="004D2B89" w:rsidP="004D2B89">
      <w:pPr>
        <w:autoSpaceDE w:val="0"/>
        <w:autoSpaceDN w:val="0"/>
        <w:adjustRightInd w:val="0"/>
        <w:jc w:val="left"/>
      </w:pPr>
      <w:r>
        <w:t xml:space="preserve">Permette di effettuare ed estrarre incroci tra la banca dati dichiarativa e quella catastale. </w:t>
      </w:r>
    </w:p>
    <w:p w:rsidR="004D2B89" w:rsidRPr="009772D9" w:rsidRDefault="004D2B89" w:rsidP="004D2B89">
      <w:pPr>
        <w:autoSpaceDE w:val="0"/>
        <w:autoSpaceDN w:val="0"/>
        <w:adjustRightInd w:val="0"/>
        <w:jc w:val="left"/>
      </w:pPr>
      <w:r w:rsidRPr="009772D9">
        <w:t>Indicando l'anno le possibili opzioni sono: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Riferimenti mancanti in IMU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Riferimenti con errata copertura di possesso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Riferimenti chiusi e non riaperti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Riferimenti doppi per lo stesso periodo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Riferimenti IMU accertati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proofErr w:type="spellStart"/>
      <w:r w:rsidRPr="009772D9">
        <w:t>Rif.Dichiarati</w:t>
      </w:r>
      <w:proofErr w:type="spellEnd"/>
      <w:r w:rsidRPr="009772D9">
        <w:t xml:space="preserve"> in ICI/IMU e non in TARI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proofErr w:type="spellStart"/>
      <w:r w:rsidRPr="009772D9">
        <w:t>Rif.Dichiarati</w:t>
      </w:r>
      <w:proofErr w:type="spellEnd"/>
      <w:r w:rsidRPr="009772D9">
        <w:t xml:space="preserve"> in TARI e non in ICI/IMU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proofErr w:type="spellStart"/>
      <w:r w:rsidRPr="009772D9">
        <w:t>Rif.Catastali</w:t>
      </w:r>
      <w:proofErr w:type="spellEnd"/>
      <w:r w:rsidRPr="009772D9">
        <w:t xml:space="preserve"> non in Dichiarazioni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proofErr w:type="spellStart"/>
      <w:r w:rsidRPr="009772D9">
        <w:t>Rif.Dichiarati</w:t>
      </w:r>
      <w:proofErr w:type="spellEnd"/>
      <w:r w:rsidRPr="009772D9">
        <w:t xml:space="preserve"> non a catasto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Posizione Dichiarata uguale a Catastale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proofErr w:type="spellStart"/>
      <w:r w:rsidRPr="009772D9">
        <w:t>Cat</w:t>
      </w:r>
      <w:proofErr w:type="spellEnd"/>
      <w:r w:rsidRPr="009772D9">
        <w:t>. e/o Classe Dichiarata diversa da Catastale</w:t>
      </w:r>
    </w:p>
    <w:p w:rsidR="004D2B89" w:rsidRPr="009772D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Rendita e/o Consistenza Catastale diversa da Dichiarata</w:t>
      </w:r>
    </w:p>
    <w:p w:rsidR="004D2B89" w:rsidRDefault="004D2B89" w:rsidP="004D2B89">
      <w:pPr>
        <w:pStyle w:val="Paragrafoelenco"/>
        <w:numPr>
          <w:ilvl w:val="0"/>
          <w:numId w:val="28"/>
        </w:numPr>
        <w:autoSpaceDE w:val="0"/>
        <w:autoSpaceDN w:val="0"/>
        <w:adjustRightInd w:val="0"/>
        <w:jc w:val="left"/>
      </w:pPr>
      <w:r w:rsidRPr="009772D9">
        <w:t>Proprietario e/o Copertura Catastale diverso da Dichiarato</w:t>
      </w:r>
    </w:p>
    <w:p w:rsidR="004D2B89" w:rsidRPr="00265444" w:rsidRDefault="004D2B89" w:rsidP="004D2B89">
      <w:pPr>
        <w:pStyle w:val="Sottotitolo"/>
      </w:pPr>
      <w:bookmarkStart w:id="39" w:name="_Toc66796095"/>
      <w:r>
        <w:t xml:space="preserve">Sorgente </w:t>
      </w:r>
      <w:proofErr w:type="spellStart"/>
      <w:r w:rsidRPr="00265444">
        <w:rPr>
          <w:rStyle w:val="Enfasicorsivo"/>
        </w:rPr>
        <w:t>OPENgovICI</w:t>
      </w:r>
      <w:proofErr w:type="spellEnd"/>
      <w:r w:rsidRPr="00265444">
        <w:rPr>
          <w:rStyle w:val="Enfasicorsivo"/>
        </w:rPr>
        <w:t>/</w:t>
      </w:r>
      <w:proofErr w:type="spellStart"/>
      <w:r w:rsidRPr="00265444">
        <w:rPr>
          <w:rStyle w:val="Enfasicorsivo"/>
        </w:rPr>
        <w:t>ConfrontaConCatasto</w:t>
      </w:r>
      <w:proofErr w:type="spellEnd"/>
      <w:r w:rsidRPr="00265444">
        <w:rPr>
          <w:rStyle w:val="Enfasicorsivo"/>
        </w:rPr>
        <w:t>/CheckRifCatastali.aspx</w:t>
      </w:r>
      <w:r>
        <w:t>.</w:t>
      </w:r>
      <w:bookmarkEnd w:id="39"/>
    </w:p>
    <w:p w:rsidR="004D2B89" w:rsidRDefault="004D2B89" w:rsidP="004D2B89">
      <w:pPr>
        <w:pStyle w:val="Titolo4"/>
      </w:pPr>
      <w:bookmarkStart w:id="40" w:name="_Toc66796096"/>
      <w:bookmarkStart w:id="41" w:name="_Toc67058368"/>
      <w:r>
        <w:t>Utenti Non Pagato</w:t>
      </w:r>
      <w:bookmarkEnd w:id="40"/>
      <w:bookmarkEnd w:id="41"/>
    </w:p>
    <w:p w:rsidR="004D2B89" w:rsidRDefault="004D2B89" w:rsidP="004D2B89">
      <w:r>
        <w:t>Permette di ricercare ed estrarre tutti gli utenti che non hanno effettuato versamenti per un dato anno.</w:t>
      </w:r>
    </w:p>
    <w:p w:rsidR="004D2B89" w:rsidRPr="00D27581" w:rsidRDefault="004D2B89" w:rsidP="004D2B89">
      <w:pPr>
        <w:pStyle w:val="Sottotitolo"/>
      </w:pPr>
      <w:bookmarkStart w:id="42" w:name="_Toc66796097"/>
      <w:r>
        <w:t xml:space="preserve">Sorgente </w:t>
      </w:r>
      <w:proofErr w:type="spellStart"/>
      <w:r w:rsidRPr="00D27581">
        <w:rPr>
          <w:rStyle w:val="Enfasicorsivo"/>
        </w:rPr>
        <w:t>OPENgovICI</w:t>
      </w:r>
      <w:proofErr w:type="spellEnd"/>
      <w:r w:rsidRPr="00D27581">
        <w:rPr>
          <w:rStyle w:val="Enfasicorsivo"/>
        </w:rPr>
        <w:t>/analisi/stampacontribnonpagato.aspx</w:t>
      </w:r>
      <w:r>
        <w:t>.</w:t>
      </w:r>
      <w:bookmarkEnd w:id="42"/>
    </w:p>
    <w:p w:rsidR="004D2B89" w:rsidRDefault="004D2B89" w:rsidP="004D2B89">
      <w:pPr>
        <w:pStyle w:val="Titolo4"/>
      </w:pPr>
      <w:bookmarkStart w:id="43" w:name="_Toc66796098"/>
      <w:bookmarkStart w:id="44" w:name="_Toc67058369"/>
      <w:r>
        <w:t>Utenti Pagato Diverso</w:t>
      </w:r>
      <w:bookmarkEnd w:id="43"/>
      <w:bookmarkEnd w:id="44"/>
    </w:p>
    <w:p w:rsidR="004D2B89" w:rsidRDefault="004D2B89" w:rsidP="004D2B89">
      <w:r>
        <w:t>Permette di ricercare ed estrarre tutti gli utenti che hanno effettuato versamenti, per un dato anno, che non coincidono con il</w:t>
      </w:r>
      <w:r w:rsidRPr="00D27581">
        <w:t xml:space="preserve"> </w:t>
      </w:r>
      <w:r>
        <w:t>dovuto.</w:t>
      </w:r>
    </w:p>
    <w:p w:rsidR="004D2B89" w:rsidRPr="00D27581" w:rsidRDefault="004D2B89" w:rsidP="004D2B89">
      <w:pPr>
        <w:pStyle w:val="Sottotitolo"/>
      </w:pPr>
      <w:bookmarkStart w:id="45" w:name="_Toc66796099"/>
      <w:r>
        <w:t xml:space="preserve">Sorgente </w:t>
      </w:r>
      <w:proofErr w:type="spellStart"/>
      <w:r w:rsidRPr="00D27581">
        <w:rPr>
          <w:rStyle w:val="Enfasicorsivo"/>
        </w:rPr>
        <w:t>OPENgovICI</w:t>
      </w:r>
      <w:proofErr w:type="spellEnd"/>
      <w:r w:rsidRPr="00D27581">
        <w:rPr>
          <w:rStyle w:val="Enfasicorsivo"/>
        </w:rPr>
        <w:t>/analisi/</w:t>
      </w:r>
      <w:r w:rsidRPr="00215119">
        <w:rPr>
          <w:rStyle w:val="Enfasicorsivo"/>
        </w:rPr>
        <w:t>StampaContribPagatoDiverso</w:t>
      </w:r>
      <w:r w:rsidRPr="00D27581">
        <w:rPr>
          <w:rStyle w:val="Enfasicorsivo"/>
        </w:rPr>
        <w:t>.aspx</w:t>
      </w:r>
      <w:r>
        <w:t>.</w:t>
      </w:r>
      <w:bookmarkEnd w:id="45"/>
    </w:p>
    <w:p w:rsidR="004D2B89" w:rsidRDefault="004D2B89" w:rsidP="004D2B89">
      <w:pPr>
        <w:pStyle w:val="Titolo4"/>
      </w:pPr>
      <w:bookmarkStart w:id="46" w:name="_Toc66796100"/>
      <w:bookmarkStart w:id="47" w:name="_Toc67058370"/>
      <w:r>
        <w:t>Economiche</w:t>
      </w:r>
      <w:bookmarkEnd w:id="46"/>
      <w:bookmarkEnd w:id="47"/>
    </w:p>
    <w:p w:rsidR="004D2B89" w:rsidRPr="00391319" w:rsidRDefault="004D2B89" w:rsidP="004D2B89">
      <w:pPr>
        <w:autoSpaceDE w:val="0"/>
        <w:autoSpaceDN w:val="0"/>
        <w:adjustRightInd w:val="0"/>
        <w:jc w:val="left"/>
      </w:pPr>
      <w:r>
        <w:t xml:space="preserve">Permette </w:t>
      </w:r>
      <w:r w:rsidRPr="00391319">
        <w:t>la consultazione del raffronto fra fatturato ed incassato</w:t>
      </w:r>
      <w:r>
        <w:t>, con visualizzazione in grafico</w:t>
      </w:r>
      <w:r w:rsidRPr="00391319">
        <w:t>.</w:t>
      </w:r>
    </w:p>
    <w:p w:rsidR="004D2B89" w:rsidRPr="00D27581" w:rsidRDefault="004D2B89" w:rsidP="004D2B89">
      <w:pPr>
        <w:pStyle w:val="Sottotitolo"/>
      </w:pPr>
      <w:bookmarkStart w:id="48" w:name="_Toc66796101"/>
      <w:r>
        <w:t xml:space="preserve">Sorgente </w:t>
      </w:r>
      <w:r w:rsidRPr="00A76989">
        <w:rPr>
          <w:rStyle w:val="Enfasicorsivo"/>
        </w:rPr>
        <w:t>OPENgovICI/Analisi/FatturatoIncassato/RicercaAnalisiEconomiche.aspx</w:t>
      </w:r>
      <w:r>
        <w:t>.</w:t>
      </w:r>
      <w:bookmarkEnd w:id="48"/>
    </w:p>
    <w:p w:rsidR="004D2B89" w:rsidRDefault="004D2B89" w:rsidP="004D2B89">
      <w:pPr>
        <w:pStyle w:val="Titolo4"/>
      </w:pPr>
      <w:bookmarkStart w:id="49" w:name="_Toc66796102"/>
      <w:bookmarkStart w:id="50" w:name="_Toc67058371"/>
      <w:r>
        <w:t>Rimborsi Stato</w:t>
      </w:r>
      <w:bookmarkEnd w:id="49"/>
      <w:bookmarkEnd w:id="50"/>
    </w:p>
    <w:p w:rsidR="004D2B89" w:rsidRPr="00391319" w:rsidRDefault="004D2B89" w:rsidP="004D2B89">
      <w:pPr>
        <w:autoSpaceDE w:val="0"/>
        <w:autoSpaceDN w:val="0"/>
        <w:adjustRightInd w:val="0"/>
        <w:jc w:val="left"/>
      </w:pPr>
      <w:r>
        <w:t xml:space="preserve">Permette di ricercare ed estrarre </w:t>
      </w:r>
      <w:r w:rsidRPr="006E676B">
        <w:t>i contribuenti che hanno diritto ad un rimborso</w:t>
      </w:r>
      <w:r w:rsidRPr="00391319">
        <w:t>.</w:t>
      </w:r>
    </w:p>
    <w:p w:rsidR="004D2B89" w:rsidRPr="00D27581" w:rsidRDefault="004D2B89" w:rsidP="004D2B89">
      <w:pPr>
        <w:pStyle w:val="Sottotitolo"/>
      </w:pPr>
      <w:bookmarkStart w:id="51" w:name="_Toc66796103"/>
      <w:r>
        <w:t xml:space="preserve">Sorgente </w:t>
      </w:r>
      <w:proofErr w:type="spellStart"/>
      <w:r w:rsidRPr="006E676B">
        <w:rPr>
          <w:rStyle w:val="Enfasicorsivo"/>
        </w:rPr>
        <w:t>OPENgovICI</w:t>
      </w:r>
      <w:proofErr w:type="spellEnd"/>
      <w:r w:rsidRPr="006E676B">
        <w:rPr>
          <w:rStyle w:val="Enfasicorsivo"/>
        </w:rPr>
        <w:t>/Analisi/Rimborsi.aspx</w:t>
      </w:r>
      <w:r>
        <w:t>.</w:t>
      </w:r>
      <w:bookmarkEnd w:id="51"/>
    </w:p>
    <w:p w:rsidR="004D2B89" w:rsidRDefault="004D2B89" w:rsidP="004D2B89">
      <w:pPr>
        <w:pStyle w:val="Titolo3"/>
      </w:pPr>
      <w:bookmarkStart w:id="52" w:name="_Toc66796104"/>
      <w:bookmarkStart w:id="53" w:name="_Toc67058372"/>
      <w:r>
        <w:t>Ravvedimento Operoso</w:t>
      </w:r>
      <w:bookmarkEnd w:id="52"/>
      <w:bookmarkEnd w:id="53"/>
    </w:p>
    <w:p w:rsidR="004D2B89" w:rsidRDefault="004D2B89" w:rsidP="004D2B89">
      <w:pPr>
        <w:autoSpaceDE w:val="0"/>
        <w:autoSpaceDN w:val="0"/>
        <w:adjustRightInd w:val="0"/>
      </w:pPr>
      <w:r>
        <w:t>Permette di calcolare e stampare il ravvedimento operoso di un contribuente</w:t>
      </w:r>
      <w:r w:rsidRPr="00391319">
        <w:t>.</w:t>
      </w:r>
      <w:r>
        <w:t xml:space="preserve"> Per poter calcolare il ravvedimento operoso bisogna:</w:t>
      </w:r>
    </w:p>
    <w:p w:rsidR="004D2B89" w:rsidRDefault="004D2B89" w:rsidP="004D2B89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left"/>
      </w:pPr>
      <w:r>
        <w:t>selezionare un contribuente;</w:t>
      </w:r>
    </w:p>
    <w:p w:rsidR="004D2B89" w:rsidRDefault="004D2B89" w:rsidP="004D2B89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left"/>
      </w:pPr>
      <w:r>
        <w:t>selezionare l’anno e cliccare sul pulsante di ricerca in alto a destra;</w:t>
      </w:r>
    </w:p>
    <w:p w:rsidR="004D2B89" w:rsidRDefault="004D2B89" w:rsidP="004D2B89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left"/>
      </w:pPr>
      <w:r>
        <w:t>selezionare per quale rata si vuole calcolare il ravvedimento ed indicarne l'importo non pagato;</w:t>
      </w:r>
    </w:p>
    <w:p w:rsidR="004D2B89" w:rsidRDefault="004D2B89" w:rsidP="004D2B89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left"/>
      </w:pPr>
      <w:r>
        <w:t>cliccare sul pulsante di calcolo in altro a destra;</w:t>
      </w:r>
    </w:p>
    <w:p w:rsidR="004D2B89" w:rsidRPr="00391319" w:rsidRDefault="004D2B89" w:rsidP="004D2B89">
      <w:pPr>
        <w:autoSpaceDE w:val="0"/>
        <w:autoSpaceDN w:val="0"/>
        <w:adjustRightInd w:val="0"/>
        <w:jc w:val="left"/>
      </w:pPr>
      <w:r>
        <w:t>Cliccare sul pulsante di stampa per produrre l’F24 del ravvedimento.</w:t>
      </w:r>
    </w:p>
    <w:p w:rsidR="004D2B89" w:rsidRPr="00D27581" w:rsidRDefault="004D2B89" w:rsidP="004D2B89">
      <w:pPr>
        <w:pStyle w:val="Sottotitolo"/>
      </w:pPr>
      <w:bookmarkStart w:id="54" w:name="_Toc66796105"/>
      <w:r>
        <w:t xml:space="preserve">Sorgente </w:t>
      </w:r>
      <w:proofErr w:type="spellStart"/>
      <w:r w:rsidRPr="006E676B">
        <w:rPr>
          <w:rStyle w:val="Enfasicorsivo"/>
        </w:rPr>
        <w:t>OPENgovICI</w:t>
      </w:r>
      <w:proofErr w:type="spellEnd"/>
      <w:r w:rsidRPr="006E676B">
        <w:rPr>
          <w:rStyle w:val="Enfasicorsivo"/>
        </w:rPr>
        <w:t>/</w:t>
      </w:r>
      <w:proofErr w:type="spellStart"/>
      <w:r w:rsidRPr="006E676B">
        <w:rPr>
          <w:rStyle w:val="Enfasicorsivo"/>
        </w:rPr>
        <w:t>RavvedimentoOperoso</w:t>
      </w:r>
      <w:proofErr w:type="spellEnd"/>
      <w:r w:rsidRPr="006E676B">
        <w:rPr>
          <w:rStyle w:val="Enfasicorsivo"/>
        </w:rPr>
        <w:t>/GestioneRavvedimento.aspx</w:t>
      </w:r>
      <w:bookmarkEnd w:id="54"/>
    </w:p>
    <w:sectPr w:rsidR="004D2B89" w:rsidRPr="00D27581" w:rsidSect="00E85F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675"/>
    <w:multiLevelType w:val="hybridMultilevel"/>
    <w:tmpl w:val="95C08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730"/>
    <w:multiLevelType w:val="hybridMultilevel"/>
    <w:tmpl w:val="D82A3E2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133B"/>
    <w:multiLevelType w:val="hybridMultilevel"/>
    <w:tmpl w:val="02AA8650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3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507AE"/>
    <w:multiLevelType w:val="hybridMultilevel"/>
    <w:tmpl w:val="A2EA5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874"/>
    <w:multiLevelType w:val="hybridMultilevel"/>
    <w:tmpl w:val="F4A4FB5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2A10"/>
    <w:multiLevelType w:val="hybridMultilevel"/>
    <w:tmpl w:val="DD78E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058CB"/>
    <w:multiLevelType w:val="hybridMultilevel"/>
    <w:tmpl w:val="4F643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0719B"/>
    <w:multiLevelType w:val="hybridMultilevel"/>
    <w:tmpl w:val="43AEC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41373"/>
    <w:multiLevelType w:val="hybridMultilevel"/>
    <w:tmpl w:val="CF384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81570"/>
    <w:multiLevelType w:val="hybridMultilevel"/>
    <w:tmpl w:val="25CEA7FE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3A77"/>
    <w:multiLevelType w:val="hybridMultilevel"/>
    <w:tmpl w:val="5BDEB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144"/>
    <w:multiLevelType w:val="hybridMultilevel"/>
    <w:tmpl w:val="0ACCAE4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007BE"/>
    <w:multiLevelType w:val="hybridMultilevel"/>
    <w:tmpl w:val="4AC6E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EF0"/>
    <w:multiLevelType w:val="hybridMultilevel"/>
    <w:tmpl w:val="690EBB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E139C"/>
    <w:multiLevelType w:val="hybridMultilevel"/>
    <w:tmpl w:val="DA5811D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2F3"/>
    <w:multiLevelType w:val="hybridMultilevel"/>
    <w:tmpl w:val="4364C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0428"/>
    <w:multiLevelType w:val="hybridMultilevel"/>
    <w:tmpl w:val="5D7E3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837C9"/>
    <w:multiLevelType w:val="hybridMultilevel"/>
    <w:tmpl w:val="82346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4067E"/>
    <w:multiLevelType w:val="singleLevel"/>
    <w:tmpl w:val="5C160C50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4D283282"/>
    <w:multiLevelType w:val="hybridMultilevel"/>
    <w:tmpl w:val="AB88F6A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F4425"/>
    <w:multiLevelType w:val="hybridMultilevel"/>
    <w:tmpl w:val="0AFCB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87041"/>
    <w:multiLevelType w:val="hybridMultilevel"/>
    <w:tmpl w:val="73B0A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75FF"/>
    <w:multiLevelType w:val="hybridMultilevel"/>
    <w:tmpl w:val="F6222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731EC"/>
    <w:multiLevelType w:val="hybridMultilevel"/>
    <w:tmpl w:val="DB08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847E5"/>
    <w:multiLevelType w:val="hybridMultilevel"/>
    <w:tmpl w:val="BBEC0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7664F"/>
    <w:multiLevelType w:val="hybridMultilevel"/>
    <w:tmpl w:val="5846D334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B20BE"/>
    <w:multiLevelType w:val="hybridMultilevel"/>
    <w:tmpl w:val="8BE4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E5B47"/>
    <w:multiLevelType w:val="singleLevel"/>
    <w:tmpl w:val="F71CB338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 w15:restartNumberingAfterBreak="0">
    <w:nsid w:val="5A787004"/>
    <w:multiLevelType w:val="singleLevel"/>
    <w:tmpl w:val="3246257E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0" w15:restartNumberingAfterBreak="0">
    <w:nsid w:val="5E2E5288"/>
    <w:multiLevelType w:val="hybridMultilevel"/>
    <w:tmpl w:val="E2D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3793F"/>
    <w:multiLevelType w:val="hybridMultilevel"/>
    <w:tmpl w:val="6A4C6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D5120"/>
    <w:multiLevelType w:val="hybridMultilevel"/>
    <w:tmpl w:val="0804E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8F1"/>
    <w:multiLevelType w:val="singleLevel"/>
    <w:tmpl w:val="7A3483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4" w15:restartNumberingAfterBreak="0">
    <w:nsid w:val="6DA3672A"/>
    <w:multiLevelType w:val="hybridMultilevel"/>
    <w:tmpl w:val="F68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C3B24"/>
    <w:multiLevelType w:val="hybridMultilevel"/>
    <w:tmpl w:val="DB828C1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 w15:restartNumberingAfterBreak="0">
    <w:nsid w:val="70C6199A"/>
    <w:multiLevelType w:val="hybridMultilevel"/>
    <w:tmpl w:val="D0F614A2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B1FC8"/>
    <w:multiLevelType w:val="hybridMultilevel"/>
    <w:tmpl w:val="C89EE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17"/>
  </w:num>
  <w:num w:numId="4">
    <w:abstractNumId w:val="22"/>
  </w:num>
  <w:num w:numId="5">
    <w:abstractNumId w:val="0"/>
  </w:num>
  <w:num w:numId="6">
    <w:abstractNumId w:val="24"/>
  </w:num>
  <w:num w:numId="7">
    <w:abstractNumId w:val="32"/>
  </w:num>
  <w:num w:numId="8">
    <w:abstractNumId w:val="7"/>
  </w:num>
  <w:num w:numId="9">
    <w:abstractNumId w:val="6"/>
  </w:num>
  <w:num w:numId="10">
    <w:abstractNumId w:val="21"/>
  </w:num>
  <w:num w:numId="11">
    <w:abstractNumId w:val="31"/>
  </w:num>
  <w:num w:numId="12">
    <w:abstractNumId w:val="4"/>
  </w:num>
  <w:num w:numId="13">
    <w:abstractNumId w:val="28"/>
  </w:num>
  <w:num w:numId="14">
    <w:abstractNumId w:val="29"/>
  </w:num>
  <w:num w:numId="15">
    <w:abstractNumId w:val="19"/>
  </w:num>
  <w:num w:numId="16">
    <w:abstractNumId w:val="33"/>
  </w:num>
  <w:num w:numId="17">
    <w:abstractNumId w:val="14"/>
  </w:num>
  <w:num w:numId="18">
    <w:abstractNumId w:val="13"/>
  </w:num>
  <w:num w:numId="19">
    <w:abstractNumId w:val="25"/>
  </w:num>
  <w:num w:numId="20">
    <w:abstractNumId w:val="9"/>
  </w:num>
  <w:num w:numId="21">
    <w:abstractNumId w:val="3"/>
  </w:num>
  <w:num w:numId="22">
    <w:abstractNumId w:val="27"/>
  </w:num>
  <w:num w:numId="23">
    <w:abstractNumId w:val="8"/>
  </w:num>
  <w:num w:numId="24">
    <w:abstractNumId w:val="35"/>
  </w:num>
  <w:num w:numId="25">
    <w:abstractNumId w:val="10"/>
  </w:num>
  <w:num w:numId="26">
    <w:abstractNumId w:val="2"/>
  </w:num>
  <w:num w:numId="27">
    <w:abstractNumId w:val="15"/>
  </w:num>
  <w:num w:numId="28">
    <w:abstractNumId w:val="26"/>
  </w:num>
  <w:num w:numId="29">
    <w:abstractNumId w:val="16"/>
  </w:num>
  <w:num w:numId="30">
    <w:abstractNumId w:val="1"/>
  </w:num>
  <w:num w:numId="31">
    <w:abstractNumId w:val="20"/>
  </w:num>
  <w:num w:numId="32">
    <w:abstractNumId w:val="12"/>
  </w:num>
  <w:num w:numId="33">
    <w:abstractNumId w:val="36"/>
  </w:num>
  <w:num w:numId="34">
    <w:abstractNumId w:val="5"/>
  </w:num>
  <w:num w:numId="35">
    <w:abstractNumId w:val="30"/>
  </w:num>
  <w:num w:numId="36">
    <w:abstractNumId w:val="34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89"/>
    <w:rsid w:val="00061E7C"/>
    <w:rsid w:val="001D3BF0"/>
    <w:rsid w:val="002703EE"/>
    <w:rsid w:val="00416AF1"/>
    <w:rsid w:val="004D2B89"/>
    <w:rsid w:val="007665D1"/>
    <w:rsid w:val="009119EA"/>
    <w:rsid w:val="009C0FBA"/>
    <w:rsid w:val="00E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30F8"/>
  <w15:chartTrackingRefBased/>
  <w15:docId w15:val="{09D84446-B506-430F-A42D-1AFA09F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2B89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D2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B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2B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2B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2B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2B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2B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2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2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2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2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2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qFormat/>
    <w:rsid w:val="004D2B8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2B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2B8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5F0B"/>
    <w:pPr>
      <w:tabs>
        <w:tab w:val="right" w:leader="dot" w:pos="10762"/>
      </w:tabs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4D2B8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85F0B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E85F0B"/>
    <w:pPr>
      <w:ind w:left="442"/>
    </w:pPr>
    <w:rPr>
      <w:sz w:val="18"/>
    </w:rPr>
  </w:style>
  <w:style w:type="character" w:styleId="Enfasidelicata">
    <w:name w:val="Subtle Emphasis"/>
    <w:basedOn w:val="Carpredefinitoparagrafo"/>
    <w:uiPriority w:val="19"/>
    <w:qFormat/>
    <w:rsid w:val="004D2B89"/>
    <w:rPr>
      <w:i/>
      <w:iCs/>
      <w:color w:val="404040" w:themeColor="text1" w:themeTint="BF"/>
      <w:sz w:val="18"/>
      <w:szCs w:val="18"/>
    </w:rPr>
  </w:style>
  <w:style w:type="paragraph" w:styleId="Nessunaspaziatura">
    <w:name w:val="No Spacing"/>
    <w:uiPriority w:val="1"/>
    <w:qFormat/>
    <w:rsid w:val="004D2B89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4D2B89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4D2B89"/>
    <w:rPr>
      <w:b/>
      <w:bCs/>
    </w:rPr>
  </w:style>
  <w:style w:type="character" w:styleId="Enfasicorsivo">
    <w:name w:val="Emphasis"/>
    <w:basedOn w:val="Carpredefinitoparagrafo"/>
    <w:uiPriority w:val="20"/>
    <w:qFormat/>
    <w:rsid w:val="004D2B89"/>
    <w:rPr>
      <w:i/>
      <w:i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2B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B89"/>
    <w:rPr>
      <w:rFonts w:eastAsiaTheme="minorEastAsia"/>
      <w:color w:val="5A5A5A" w:themeColor="text1" w:themeTint="A5"/>
      <w:spacing w:val="15"/>
    </w:rPr>
  </w:style>
  <w:style w:type="paragraph" w:styleId="Sommario8">
    <w:name w:val="toc 8"/>
    <w:basedOn w:val="Normale"/>
    <w:next w:val="Normale"/>
    <w:autoRedefine/>
    <w:uiPriority w:val="39"/>
    <w:unhideWhenUsed/>
    <w:rsid w:val="004D2B89"/>
    <w:pPr>
      <w:spacing w:after="100" w:line="259" w:lineRule="auto"/>
      <w:ind w:left="1540"/>
      <w:jc w:val="left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E85F0B"/>
    <w:pPr>
      <w:ind w:left="658"/>
      <w:jc w:val="left"/>
    </w:pPr>
    <w:rPr>
      <w:rFonts w:eastAsiaTheme="minorEastAsia"/>
      <w:sz w:val="18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D2B89"/>
    <w:pPr>
      <w:spacing w:after="100" w:line="259" w:lineRule="auto"/>
      <w:ind w:left="880"/>
      <w:jc w:val="left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D2B89"/>
    <w:pPr>
      <w:spacing w:after="100" w:line="259" w:lineRule="auto"/>
      <w:ind w:left="1100"/>
      <w:jc w:val="left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D2B89"/>
    <w:pPr>
      <w:spacing w:after="100" w:line="259" w:lineRule="auto"/>
      <w:ind w:left="1320"/>
      <w:jc w:val="left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D2B89"/>
    <w:pPr>
      <w:spacing w:after="100" w:line="259" w:lineRule="auto"/>
      <w:ind w:left="1760"/>
      <w:jc w:val="left"/>
    </w:pPr>
    <w:rPr>
      <w:rFonts w:eastAsiaTheme="minorEastAsia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B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B8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4D2B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CEE8-5CF7-403C-AD2A-38332DCF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5</cp:revision>
  <dcterms:created xsi:type="dcterms:W3CDTF">2021-03-17T17:53:00Z</dcterms:created>
  <dcterms:modified xsi:type="dcterms:W3CDTF">2021-03-19T13:58:00Z</dcterms:modified>
</cp:coreProperties>
</file>