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89" w:rsidRDefault="004D2B89" w:rsidP="004D2B89">
      <w:pPr>
        <w:pStyle w:val="Titolo1"/>
      </w:pPr>
      <w:bookmarkStart w:id="0" w:name="_Toc66796042"/>
      <w:bookmarkStart w:id="1" w:name="_Toc66902259"/>
      <w:r>
        <w:t>Funzioni applicative</w:t>
      </w:r>
      <w:bookmarkEnd w:id="0"/>
      <w:r>
        <w:t xml:space="preserve"> </w:t>
      </w:r>
      <w:r w:rsidR="00A8449F">
        <w:t>OSAP/Scuole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4955022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4D2B89" w:rsidRDefault="004D2B89">
          <w:pPr>
            <w:pStyle w:val="Titolosommario"/>
          </w:pPr>
          <w:r>
            <w:t>Sommario</w:t>
          </w:r>
        </w:p>
        <w:p w:rsidR="00A8449F" w:rsidRDefault="00A8449F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TOC \o \h \z \u </w:instrText>
          </w:r>
          <w:r>
            <w:rPr>
              <w:szCs w:val="18"/>
            </w:rPr>
            <w:fldChar w:fldCharType="separate"/>
          </w:r>
          <w:hyperlink w:anchor="_Toc66902259" w:history="1">
            <w:r w:rsidRPr="00B825BA">
              <w:rPr>
                <w:rStyle w:val="Collegamentoipertestuale"/>
                <w:noProof/>
              </w:rPr>
              <w:t>Funzioni applicative OSAP/Scuole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6902260" w:history="1">
            <w:r w:rsidRPr="00B825BA">
              <w:rPr>
                <w:rStyle w:val="Collegamentoipertestuale"/>
                <w:noProof/>
              </w:rPr>
              <w:t>Tributi - TOSAP/COSAP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6902261" w:history="1">
            <w:r w:rsidRPr="00B825BA">
              <w:rPr>
                <w:rStyle w:val="Collegamentoipertestuale"/>
                <w:noProof/>
              </w:rPr>
              <w:t>Configurazione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62" w:history="1">
            <w:r w:rsidRPr="00B825BA">
              <w:rPr>
                <w:rStyle w:val="Collegamentoipertestuale"/>
                <w:noProof/>
              </w:rPr>
              <w:t>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63" w:history="1">
            <w:r w:rsidRPr="00B825BA">
              <w:rPr>
                <w:rStyle w:val="Collegamentoipertestuale"/>
                <w:noProof/>
              </w:rPr>
              <w:t>Coefficienti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64" w:history="1">
            <w:r w:rsidRPr="00B825BA">
              <w:rPr>
                <w:rStyle w:val="Collegamentoipertestuale"/>
                <w:noProof/>
              </w:rPr>
              <w:t>Tariffe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65" w:history="1">
            <w:r w:rsidRPr="00B825BA">
              <w:rPr>
                <w:rStyle w:val="Collegamentoipertestuale"/>
                <w:noProof/>
              </w:rPr>
              <w:t>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6902266" w:history="1">
            <w:r w:rsidRPr="00B825BA">
              <w:rPr>
                <w:rStyle w:val="Collegamentoipertestuale"/>
                <w:noProof/>
              </w:rPr>
              <w:t>Autorizzazioni/Concessioni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6902267" w:history="1">
            <w:r w:rsidRPr="00B825BA">
              <w:rPr>
                <w:rStyle w:val="Collegamentoipertestuale"/>
                <w:noProof/>
              </w:rPr>
              <w:t>Avvisi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68" w:history="1">
            <w:r w:rsidRPr="00B825BA">
              <w:rPr>
                <w:rStyle w:val="Collegamentoipertestuale"/>
                <w:noProof/>
              </w:rPr>
              <w:t>Elaborazione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69" w:history="1">
            <w:r w:rsidRPr="00B825BA">
              <w:rPr>
                <w:rStyle w:val="Collegamentoipertestuale"/>
                <w:noProof/>
              </w:rPr>
              <w:t>Gestione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6902270" w:history="1">
            <w:r w:rsidRPr="00B825BA">
              <w:rPr>
                <w:rStyle w:val="Collegamentoipertestuale"/>
                <w:noProof/>
              </w:rPr>
              <w:t>Pagamenti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71" w:history="1">
            <w:r w:rsidRPr="00B825BA">
              <w:rPr>
                <w:rStyle w:val="Collegamentoipertestuale"/>
                <w:noProof/>
              </w:rPr>
              <w:t>Acquisizione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72" w:history="1">
            <w:r w:rsidRPr="00B825BA">
              <w:rPr>
                <w:rStyle w:val="Collegamentoipertestuale"/>
                <w:noProof/>
              </w:rPr>
              <w:t>Gestione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6902273" w:history="1">
            <w:r w:rsidRPr="00B825BA">
              <w:rPr>
                <w:rStyle w:val="Collegamentoipertestuale"/>
                <w:noProof/>
              </w:rPr>
              <w:t>Tributi - SCUOLA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6902274" w:history="1">
            <w:r w:rsidRPr="00B825BA">
              <w:rPr>
                <w:rStyle w:val="Collegamentoipertestuale"/>
                <w:noProof/>
              </w:rPr>
              <w:t>Configurazione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6902275" w:history="1">
            <w:r w:rsidRPr="00B825BA">
              <w:rPr>
                <w:rStyle w:val="Collegamentoipertestuale"/>
                <w:noProof/>
              </w:rPr>
              <w:t>Avvisi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76" w:history="1">
            <w:r w:rsidRPr="00B825BA">
              <w:rPr>
                <w:rStyle w:val="Collegamentoipertestuale"/>
                <w:noProof/>
              </w:rPr>
              <w:t>Elaborazione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77" w:history="1">
            <w:r w:rsidRPr="00B825BA">
              <w:rPr>
                <w:rStyle w:val="Collegamentoipertestuale"/>
                <w:noProof/>
              </w:rPr>
              <w:t>Consultazione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6902278" w:history="1">
            <w:r w:rsidRPr="00B825BA">
              <w:rPr>
                <w:rStyle w:val="Collegamentoipertestuale"/>
                <w:noProof/>
              </w:rPr>
              <w:t>Pagamenti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79" w:history="1">
            <w:r w:rsidRPr="00B825BA">
              <w:rPr>
                <w:rStyle w:val="Collegamentoipertestuale"/>
                <w:noProof/>
              </w:rPr>
              <w:t>Acquisizione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F" w:rsidRDefault="00A8449F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6902280" w:history="1">
            <w:r w:rsidRPr="00B825BA">
              <w:rPr>
                <w:rStyle w:val="Collegamentoipertestuale"/>
                <w:noProof/>
              </w:rPr>
              <w:t>Gestione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B89" w:rsidRPr="004D2B89" w:rsidRDefault="00A8449F" w:rsidP="004D2B89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4D2B89" w:rsidRPr="004D2B89" w:rsidRDefault="004D2B89" w:rsidP="004D2B89"/>
    <w:p w:rsidR="004D2B89" w:rsidRPr="00305390" w:rsidRDefault="004D2B89" w:rsidP="004D2B89">
      <w:pPr>
        <w:pageBreakBefore/>
      </w:pPr>
      <w:r>
        <w:lastRenderedPageBreak/>
        <w:t xml:space="preserve">Elenco di tutte le voci di </w:t>
      </w:r>
      <w:proofErr w:type="spellStart"/>
      <w:r>
        <w:t>menù</w:t>
      </w:r>
      <w:proofErr w:type="spellEnd"/>
      <w:r w:rsidR="00A8449F">
        <w:t xml:space="preserve"> implementate.</w:t>
      </w:r>
    </w:p>
    <w:p w:rsidR="004D2B89" w:rsidRDefault="004D2B89" w:rsidP="004D2B89">
      <w:pPr>
        <w:pStyle w:val="Titolo2"/>
      </w:pPr>
      <w:bookmarkStart w:id="3" w:name="_Toc66796147"/>
      <w:bookmarkStart w:id="4" w:name="_Toc66902260"/>
      <w:r>
        <w:t>Tributi - TOSAP/COSAP</w:t>
      </w:r>
      <w:bookmarkEnd w:id="3"/>
      <w:bookmarkEnd w:id="4"/>
    </w:p>
    <w:p w:rsidR="004D2B89" w:rsidRPr="004556A5" w:rsidRDefault="004D2B89" w:rsidP="004D2B89">
      <w:r>
        <w:t>Permette di gestire i dati dichiarativi OSAP oltre che i dati dei pagamenti e calcolare il dovuto.</w:t>
      </w:r>
    </w:p>
    <w:p w:rsidR="004D2B89" w:rsidRDefault="004D2B89" w:rsidP="004D2B89">
      <w:pPr>
        <w:pStyle w:val="Titolo3"/>
      </w:pPr>
      <w:bookmarkStart w:id="5" w:name="_Toc66796148"/>
      <w:bookmarkStart w:id="6" w:name="_Toc66902261"/>
      <w:r>
        <w:t>Configurazione</w:t>
      </w:r>
      <w:bookmarkEnd w:id="5"/>
      <w:bookmarkEnd w:id="6"/>
    </w:p>
    <w:p w:rsidR="004D2B89" w:rsidRDefault="004D2B89" w:rsidP="004D2B89">
      <w:pPr>
        <w:pStyle w:val="Titolo4"/>
      </w:pPr>
      <w:bookmarkStart w:id="7" w:name="_Toc66796149"/>
      <w:bookmarkStart w:id="8" w:name="_Toc66902262"/>
      <w:r>
        <w:t>Tabelle</w:t>
      </w:r>
      <w:bookmarkEnd w:id="7"/>
      <w:bookmarkEnd w:id="8"/>
    </w:p>
    <w:p w:rsidR="004D2B89" w:rsidRDefault="004D2B89" w:rsidP="004D2B89">
      <w:pPr>
        <w:pStyle w:val="Sottotitolo"/>
      </w:pPr>
      <w:bookmarkStart w:id="9" w:name="_Toc66796150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/Configurazione/ConfigurazioneTabelle.aspx</w:t>
      </w:r>
      <w:r>
        <w:t>.</w:t>
      </w:r>
      <w:bookmarkEnd w:id="9"/>
    </w:p>
    <w:p w:rsidR="004D2B89" w:rsidRPr="00E157A1" w:rsidRDefault="004D2B89" w:rsidP="004D2B89">
      <w:pPr>
        <w:pStyle w:val="Titolo4"/>
      </w:pPr>
      <w:bookmarkStart w:id="10" w:name="_Toc66796151"/>
      <w:bookmarkStart w:id="11" w:name="_Toc66902263"/>
      <w:r w:rsidRPr="00E157A1">
        <w:t>Coefficienti</w:t>
      </w:r>
      <w:bookmarkEnd w:id="10"/>
      <w:bookmarkEnd w:id="11"/>
    </w:p>
    <w:p w:rsidR="004D2B89" w:rsidRDefault="004D2B89" w:rsidP="004D2B89">
      <w:pPr>
        <w:pStyle w:val="Sottotitolo"/>
      </w:pPr>
      <w:bookmarkStart w:id="12" w:name="_Toc66796152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/Configurazione/ConfigurazioneCoefficienti.aspx</w:t>
      </w:r>
      <w:r>
        <w:t>.</w:t>
      </w:r>
      <w:bookmarkEnd w:id="12"/>
    </w:p>
    <w:p w:rsidR="004D2B89" w:rsidRPr="00E157A1" w:rsidRDefault="004D2B89" w:rsidP="004D2B89">
      <w:pPr>
        <w:pStyle w:val="Titolo4"/>
      </w:pPr>
      <w:bookmarkStart w:id="13" w:name="_Toc66796153"/>
      <w:bookmarkStart w:id="14" w:name="_Toc66902264"/>
      <w:r w:rsidRPr="00E157A1">
        <w:t>Tariffe</w:t>
      </w:r>
      <w:bookmarkEnd w:id="13"/>
      <w:bookmarkEnd w:id="14"/>
    </w:p>
    <w:p w:rsidR="004D2B89" w:rsidRDefault="004D2B89" w:rsidP="004D2B89">
      <w:pPr>
        <w:pStyle w:val="Sottotitolo"/>
      </w:pPr>
      <w:bookmarkStart w:id="15" w:name="_Toc66796154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/Configurazione/ConfigurazioneTariffe.aspx</w:t>
      </w:r>
      <w:r>
        <w:t>.</w:t>
      </w:r>
      <w:bookmarkEnd w:id="15"/>
    </w:p>
    <w:p w:rsidR="004D2B89" w:rsidRPr="00E157A1" w:rsidRDefault="004D2B89" w:rsidP="004D2B89">
      <w:pPr>
        <w:pStyle w:val="Titolo4"/>
      </w:pPr>
      <w:bookmarkStart w:id="16" w:name="_Toc66796155"/>
      <w:bookmarkStart w:id="17" w:name="_Toc66902265"/>
      <w:r w:rsidRPr="00E157A1">
        <w:t>Rate</w:t>
      </w:r>
      <w:bookmarkEnd w:id="16"/>
      <w:bookmarkEnd w:id="17"/>
    </w:p>
    <w:p w:rsidR="004D2B89" w:rsidRDefault="004D2B89" w:rsidP="004D2B89">
      <w:pPr>
        <w:pStyle w:val="Sottotitolo"/>
      </w:pPr>
      <w:bookmarkStart w:id="18" w:name="_Toc66796156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/Elaborazioni/ConfigurazioneRate.aspx</w:t>
      </w:r>
      <w:r>
        <w:t>.</w:t>
      </w:r>
      <w:bookmarkEnd w:id="18"/>
    </w:p>
    <w:p w:rsidR="004D2B89" w:rsidRDefault="004D2B89" w:rsidP="004D2B89">
      <w:pPr>
        <w:pStyle w:val="Titolo3"/>
      </w:pPr>
      <w:bookmarkStart w:id="19" w:name="_Toc66796157"/>
      <w:bookmarkStart w:id="20" w:name="_Toc66902266"/>
      <w:r>
        <w:t>Autorizzazioni/Concessioni</w:t>
      </w:r>
      <w:bookmarkEnd w:id="19"/>
      <w:bookmarkEnd w:id="20"/>
    </w:p>
    <w:p w:rsidR="004D2B89" w:rsidRDefault="004D2B89" w:rsidP="004D2B89">
      <w:pPr>
        <w:pStyle w:val="Sottotitolo"/>
      </w:pPr>
      <w:bookmarkStart w:id="21" w:name="_Toc66796158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/Dichiarazioni/DichiarazioniSearch.aspx</w:t>
      </w:r>
      <w:r>
        <w:t>.</w:t>
      </w:r>
      <w:bookmarkEnd w:id="21"/>
    </w:p>
    <w:p w:rsidR="004D2B89" w:rsidRDefault="004D2B89" w:rsidP="004D2B89">
      <w:pPr>
        <w:pStyle w:val="Titolo3"/>
      </w:pPr>
      <w:bookmarkStart w:id="22" w:name="_Toc66796159"/>
      <w:bookmarkStart w:id="23" w:name="_Toc66902267"/>
      <w:r>
        <w:t>Avvisi</w:t>
      </w:r>
      <w:bookmarkEnd w:id="22"/>
      <w:bookmarkEnd w:id="23"/>
    </w:p>
    <w:p w:rsidR="004D2B89" w:rsidRDefault="004D2B89" w:rsidP="004D2B89">
      <w:pPr>
        <w:pStyle w:val="Titolo4"/>
      </w:pPr>
      <w:bookmarkStart w:id="24" w:name="_Toc66796160"/>
      <w:bookmarkStart w:id="25" w:name="_Toc66902268"/>
      <w:r>
        <w:t>Elaborazione</w:t>
      </w:r>
      <w:bookmarkEnd w:id="24"/>
      <w:bookmarkEnd w:id="25"/>
    </w:p>
    <w:p w:rsidR="004D2B89" w:rsidRDefault="004D2B89" w:rsidP="004D2B89">
      <w:pPr>
        <w:pStyle w:val="Sottotitolo"/>
      </w:pPr>
      <w:bookmarkStart w:id="26" w:name="_Toc66796161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/Elaborazioni/ElaborazioneAvvisi.aspx</w:t>
      </w:r>
      <w:r>
        <w:t>.</w:t>
      </w:r>
      <w:bookmarkEnd w:id="26"/>
    </w:p>
    <w:p w:rsidR="004D2B89" w:rsidRPr="00E157A1" w:rsidRDefault="004D2B89" w:rsidP="004D2B89">
      <w:pPr>
        <w:pStyle w:val="Titolo4"/>
      </w:pPr>
      <w:bookmarkStart w:id="27" w:name="_Toc66796162"/>
      <w:bookmarkStart w:id="28" w:name="_Toc66902269"/>
      <w:r w:rsidRPr="00E157A1">
        <w:t>Gestione</w:t>
      </w:r>
      <w:bookmarkEnd w:id="27"/>
      <w:bookmarkEnd w:id="28"/>
    </w:p>
    <w:p w:rsidR="004D2B89" w:rsidRDefault="004D2B89" w:rsidP="004D2B89">
      <w:pPr>
        <w:pStyle w:val="Sottotitolo"/>
      </w:pPr>
      <w:bookmarkStart w:id="29" w:name="_Toc66796163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</w:t>
      </w:r>
      <w:proofErr w:type="spellStart"/>
      <w:r w:rsidRPr="00E404FD">
        <w:rPr>
          <w:rStyle w:val="Enfasidelicata"/>
        </w:rPr>
        <w:t>SituazioneContribuente</w:t>
      </w:r>
      <w:proofErr w:type="spellEnd"/>
      <w:r w:rsidRPr="00E404FD">
        <w:rPr>
          <w:rStyle w:val="Enfasidelicata"/>
        </w:rPr>
        <w:t>/SituazioneAvvisiSearch.aspx</w:t>
      </w:r>
      <w:r>
        <w:t>.</w:t>
      </w:r>
      <w:bookmarkEnd w:id="29"/>
    </w:p>
    <w:p w:rsidR="004D2B89" w:rsidRDefault="004D2B89" w:rsidP="004D2B89">
      <w:pPr>
        <w:pStyle w:val="Titolo3"/>
      </w:pPr>
      <w:bookmarkStart w:id="30" w:name="_Toc66796164"/>
      <w:bookmarkStart w:id="31" w:name="_Toc66902270"/>
      <w:r>
        <w:t>Pagamenti</w:t>
      </w:r>
      <w:bookmarkEnd w:id="30"/>
      <w:bookmarkEnd w:id="31"/>
    </w:p>
    <w:p w:rsidR="004D2B89" w:rsidRDefault="004D2B89" w:rsidP="004D2B89">
      <w:pPr>
        <w:pStyle w:val="Titolo4"/>
      </w:pPr>
      <w:bookmarkStart w:id="32" w:name="_Toc66796165"/>
      <w:bookmarkStart w:id="33" w:name="_Toc66902271"/>
      <w:r>
        <w:t>Acquisizione</w:t>
      </w:r>
      <w:bookmarkEnd w:id="32"/>
      <w:bookmarkEnd w:id="33"/>
    </w:p>
    <w:p w:rsidR="004D2B89" w:rsidRDefault="004D2B89" w:rsidP="004D2B89">
      <w:r>
        <w:t>Permette di importare i versamenti dei flussi. Per l’importazione è utilizzata la stessa pagina del tributo TARSU; viene passato il tributo di origine come parametro per indirizzare correttamente il sistema.</w:t>
      </w:r>
    </w:p>
    <w:p w:rsidR="004D2B89" w:rsidRDefault="004D2B89" w:rsidP="004D2B89">
      <w:pPr>
        <w:pStyle w:val="Sottotitolo"/>
      </w:pPr>
      <w:bookmarkStart w:id="34" w:name="_Toc66796166"/>
      <w:r>
        <w:t xml:space="preserve">Sorgente </w:t>
      </w:r>
      <w:proofErr w:type="spellStart"/>
      <w:r w:rsidRPr="00E404FD">
        <w:rPr>
          <w:rStyle w:val="Enfasidelicata"/>
        </w:rPr>
        <w:t>OPENgovTIA</w:t>
      </w:r>
      <w:proofErr w:type="spellEnd"/>
      <w:r w:rsidRPr="00E404FD">
        <w:rPr>
          <w:rStyle w:val="Enfasidelicata"/>
        </w:rPr>
        <w:t>/Pagamenti/Acquisizione/ImportPagamenti.aspx</w:t>
      </w:r>
      <w:r>
        <w:t>.</w:t>
      </w:r>
      <w:bookmarkEnd w:id="34"/>
    </w:p>
    <w:p w:rsidR="004D2B89" w:rsidRPr="00E404FD" w:rsidRDefault="004D2B89" w:rsidP="004D2B89">
      <w:pPr>
        <w:pStyle w:val="Titolo4"/>
      </w:pPr>
      <w:bookmarkStart w:id="35" w:name="_Toc66796167"/>
      <w:bookmarkStart w:id="36" w:name="_Toc66902272"/>
      <w:r w:rsidRPr="00E404FD">
        <w:t>Gestione</w:t>
      </w:r>
      <w:bookmarkEnd w:id="35"/>
      <w:bookmarkEnd w:id="36"/>
    </w:p>
    <w:p w:rsidR="004D2B89" w:rsidRPr="00391319" w:rsidRDefault="004D2B89" w:rsidP="004D2B89">
      <w:pPr>
        <w:autoSpaceDE w:val="0"/>
        <w:autoSpaceDN w:val="0"/>
        <w:adjustRightInd w:val="0"/>
        <w:jc w:val="left"/>
      </w:pPr>
      <w:r>
        <w:t>Permette di inserire/modificare/cancellare/estrarre/abbinare i pagamenti sul dovuto. Per la gestione è utilizzata la stessa pagina del tributo TARSU; viene passato il tributo di origine come parametro per indirizzare correttamente il sistema</w:t>
      </w:r>
      <w:r w:rsidRPr="00391319">
        <w:t>.</w:t>
      </w:r>
    </w:p>
    <w:p w:rsidR="004D2B89" w:rsidRDefault="004D2B89" w:rsidP="004D2B89">
      <w:pPr>
        <w:pStyle w:val="Sottotitolo"/>
      </w:pPr>
      <w:bookmarkStart w:id="37" w:name="_Toc66796168"/>
      <w:r>
        <w:t xml:space="preserve">Sorgente </w:t>
      </w:r>
      <w:proofErr w:type="spellStart"/>
      <w:r w:rsidRPr="00E404FD">
        <w:rPr>
          <w:rStyle w:val="Enfasidelicata"/>
        </w:rPr>
        <w:t>OPENgovTIA</w:t>
      </w:r>
      <w:proofErr w:type="spellEnd"/>
      <w:r w:rsidRPr="00E404FD">
        <w:rPr>
          <w:rStyle w:val="Enfasidelicata"/>
        </w:rPr>
        <w:t>/Pagamenti/Gestione/RicPag.aspx</w:t>
      </w:r>
      <w:r>
        <w:t>.</w:t>
      </w:r>
      <w:bookmarkEnd w:id="37"/>
    </w:p>
    <w:p w:rsidR="004D2B89" w:rsidRDefault="004D2B89" w:rsidP="004D2B89">
      <w:pPr>
        <w:pStyle w:val="Titolo2"/>
      </w:pPr>
      <w:bookmarkStart w:id="38" w:name="_Toc66796169"/>
      <w:bookmarkStart w:id="39" w:name="_Toc66902273"/>
      <w:r>
        <w:t>Tributi - SCUOLA</w:t>
      </w:r>
      <w:bookmarkEnd w:id="38"/>
      <w:bookmarkEnd w:id="39"/>
    </w:p>
    <w:p w:rsidR="004D2B89" w:rsidRPr="004556A5" w:rsidRDefault="004D2B89" w:rsidP="004D2B89">
      <w:r>
        <w:t>Permette di gestire i dati del dovuto e dei pagamenti per i servizi scolastici.</w:t>
      </w:r>
    </w:p>
    <w:p w:rsidR="004D2B89" w:rsidRPr="00E404FD" w:rsidRDefault="004D2B89" w:rsidP="004D2B89">
      <w:pPr>
        <w:pStyle w:val="Titolo3"/>
      </w:pPr>
      <w:bookmarkStart w:id="40" w:name="_Toc66796170"/>
      <w:bookmarkStart w:id="41" w:name="_Toc66902274"/>
      <w:r w:rsidRPr="00E404FD">
        <w:t>Configurazione Rate</w:t>
      </w:r>
      <w:bookmarkEnd w:id="40"/>
      <w:bookmarkEnd w:id="41"/>
    </w:p>
    <w:p w:rsidR="004D2B89" w:rsidRDefault="004D2B89" w:rsidP="004D2B89">
      <w:pPr>
        <w:pStyle w:val="Sottotitolo"/>
      </w:pPr>
      <w:bookmarkStart w:id="42" w:name="_Toc66796171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/Elaborazioni/ConfigurazioneRate.aspx</w:t>
      </w:r>
      <w:r>
        <w:t>.</w:t>
      </w:r>
      <w:bookmarkEnd w:id="42"/>
    </w:p>
    <w:p w:rsidR="004D2B89" w:rsidRDefault="004D2B89" w:rsidP="004D2B89">
      <w:pPr>
        <w:pStyle w:val="Titolo3"/>
      </w:pPr>
      <w:bookmarkStart w:id="43" w:name="_Toc66796172"/>
      <w:bookmarkStart w:id="44" w:name="_Toc66902275"/>
      <w:r>
        <w:t>Avvisi</w:t>
      </w:r>
      <w:bookmarkEnd w:id="43"/>
      <w:bookmarkEnd w:id="44"/>
    </w:p>
    <w:p w:rsidR="004D2B89" w:rsidRDefault="004D2B89" w:rsidP="004D2B89">
      <w:pPr>
        <w:pStyle w:val="Titolo4"/>
      </w:pPr>
      <w:bookmarkStart w:id="45" w:name="_Toc66796173"/>
      <w:bookmarkStart w:id="46" w:name="_Toc66902276"/>
      <w:r>
        <w:t>Elaborazione</w:t>
      </w:r>
      <w:bookmarkEnd w:id="45"/>
      <w:bookmarkEnd w:id="46"/>
    </w:p>
    <w:p w:rsidR="004D2B89" w:rsidRDefault="004D2B89" w:rsidP="004D2B89">
      <w:pPr>
        <w:pStyle w:val="Sottotitolo"/>
      </w:pPr>
      <w:bookmarkStart w:id="47" w:name="_Toc66796174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/Elaborazioni/ElaborazioneAvvisi.aspx</w:t>
      </w:r>
      <w:r>
        <w:t>.</w:t>
      </w:r>
      <w:bookmarkEnd w:id="47"/>
    </w:p>
    <w:p w:rsidR="004D2B89" w:rsidRPr="00E157A1" w:rsidRDefault="004D2B89" w:rsidP="004D2B89">
      <w:pPr>
        <w:pStyle w:val="Titolo4"/>
      </w:pPr>
      <w:bookmarkStart w:id="48" w:name="_Toc66796175"/>
      <w:bookmarkStart w:id="49" w:name="_Toc66902277"/>
      <w:r w:rsidRPr="00E157A1">
        <w:t>Consultazione</w:t>
      </w:r>
      <w:bookmarkEnd w:id="48"/>
      <w:bookmarkEnd w:id="49"/>
    </w:p>
    <w:p w:rsidR="004D2B89" w:rsidRDefault="004D2B89" w:rsidP="004D2B89">
      <w:pPr>
        <w:pStyle w:val="Sottotitolo"/>
      </w:pPr>
      <w:bookmarkStart w:id="50" w:name="_Toc66796176"/>
      <w:r>
        <w:t xml:space="preserve">Sorgente </w:t>
      </w:r>
      <w:proofErr w:type="spellStart"/>
      <w:r w:rsidRPr="00E404FD">
        <w:rPr>
          <w:rStyle w:val="Enfasidelicata"/>
        </w:rPr>
        <w:t>OPENgovTOCO</w:t>
      </w:r>
      <w:proofErr w:type="spellEnd"/>
      <w:r w:rsidRPr="00E404FD">
        <w:rPr>
          <w:rStyle w:val="Enfasidelicata"/>
        </w:rPr>
        <w:t>/</w:t>
      </w:r>
      <w:proofErr w:type="spellStart"/>
      <w:r w:rsidRPr="00E404FD">
        <w:rPr>
          <w:rStyle w:val="Enfasidelicata"/>
        </w:rPr>
        <w:t>SituazioneContribuente</w:t>
      </w:r>
      <w:proofErr w:type="spellEnd"/>
      <w:r w:rsidRPr="00E404FD">
        <w:rPr>
          <w:rStyle w:val="Enfasidelicata"/>
        </w:rPr>
        <w:t>/SituazioneAvvisiSearch.aspx</w:t>
      </w:r>
      <w:r>
        <w:t>.</w:t>
      </w:r>
      <w:bookmarkEnd w:id="50"/>
    </w:p>
    <w:p w:rsidR="004D2B89" w:rsidRDefault="004D2B89" w:rsidP="004D2B89">
      <w:pPr>
        <w:pStyle w:val="Titolo3"/>
      </w:pPr>
      <w:bookmarkStart w:id="51" w:name="_Toc66796177"/>
      <w:bookmarkStart w:id="52" w:name="_Toc66902278"/>
      <w:r>
        <w:t>Pagamenti</w:t>
      </w:r>
      <w:bookmarkEnd w:id="51"/>
      <w:bookmarkEnd w:id="52"/>
    </w:p>
    <w:p w:rsidR="004D2B89" w:rsidRDefault="004D2B89" w:rsidP="004D2B89">
      <w:pPr>
        <w:pStyle w:val="Titolo4"/>
      </w:pPr>
      <w:bookmarkStart w:id="53" w:name="_Toc66796178"/>
      <w:bookmarkStart w:id="54" w:name="_Toc66902279"/>
      <w:r>
        <w:t>Acquisizione</w:t>
      </w:r>
      <w:bookmarkEnd w:id="53"/>
      <w:bookmarkEnd w:id="54"/>
    </w:p>
    <w:p w:rsidR="004D2B89" w:rsidRDefault="004D2B89" w:rsidP="004D2B89">
      <w:r>
        <w:t>Permette di importare i versamenti dei flussi. Per l’importazione è utilizzata la stessa pagina del tributo TARSU; viene passato il tributo di origine come parametro per indirizzare correttamente il sistema.</w:t>
      </w:r>
    </w:p>
    <w:p w:rsidR="004D2B89" w:rsidRDefault="004D2B89" w:rsidP="004D2B89">
      <w:pPr>
        <w:pStyle w:val="Sottotitolo"/>
      </w:pPr>
      <w:bookmarkStart w:id="55" w:name="_Toc66796179"/>
      <w:r>
        <w:t xml:space="preserve">Sorgente </w:t>
      </w:r>
      <w:proofErr w:type="spellStart"/>
      <w:r w:rsidRPr="00E404FD">
        <w:rPr>
          <w:rStyle w:val="Enfasidelicata"/>
        </w:rPr>
        <w:t>OPENgovTIA</w:t>
      </w:r>
      <w:proofErr w:type="spellEnd"/>
      <w:r w:rsidRPr="00E404FD">
        <w:rPr>
          <w:rStyle w:val="Enfasidelicata"/>
        </w:rPr>
        <w:t>/Pagamenti/Acquisizione/ImportPagamenti.aspx</w:t>
      </w:r>
      <w:r>
        <w:t>.</w:t>
      </w:r>
      <w:bookmarkEnd w:id="55"/>
    </w:p>
    <w:p w:rsidR="004D2B89" w:rsidRPr="00E404FD" w:rsidRDefault="004D2B89" w:rsidP="004D2B89">
      <w:pPr>
        <w:pStyle w:val="Titolo4"/>
      </w:pPr>
      <w:bookmarkStart w:id="56" w:name="_Toc66796180"/>
      <w:bookmarkStart w:id="57" w:name="_Toc66902280"/>
      <w:r w:rsidRPr="00E404FD">
        <w:t>Gestione</w:t>
      </w:r>
      <w:bookmarkEnd w:id="56"/>
      <w:bookmarkEnd w:id="57"/>
    </w:p>
    <w:p w:rsidR="004D2B89" w:rsidRPr="00391319" w:rsidRDefault="004D2B89" w:rsidP="004D2B89">
      <w:pPr>
        <w:autoSpaceDE w:val="0"/>
        <w:autoSpaceDN w:val="0"/>
        <w:adjustRightInd w:val="0"/>
        <w:jc w:val="left"/>
      </w:pPr>
      <w:r>
        <w:t>Permette di inserire/modificare/cancellare/estrarre/abbinare i pagamenti sul dovuto. Per la gestione è utilizzata la stessa pagina del tributo TARSU; viene passato il tributo di origine come parametro per indirizzare correttamente il sistema</w:t>
      </w:r>
      <w:r w:rsidRPr="00391319">
        <w:t>.</w:t>
      </w:r>
    </w:p>
    <w:p w:rsidR="004D2B89" w:rsidRDefault="004D2B89" w:rsidP="004D2B89">
      <w:pPr>
        <w:pStyle w:val="Sottotitolo"/>
      </w:pPr>
      <w:bookmarkStart w:id="58" w:name="_Toc66796181"/>
      <w:r>
        <w:t xml:space="preserve">Sorgente </w:t>
      </w:r>
      <w:proofErr w:type="spellStart"/>
      <w:r w:rsidRPr="00E404FD">
        <w:rPr>
          <w:rStyle w:val="Enfasidelicata"/>
        </w:rPr>
        <w:t>OPENgovTIA</w:t>
      </w:r>
      <w:proofErr w:type="spellEnd"/>
      <w:r w:rsidRPr="00E404FD">
        <w:rPr>
          <w:rStyle w:val="Enfasidelicata"/>
        </w:rPr>
        <w:t>/Pagamenti/Gestione/RicPag.aspx</w:t>
      </w:r>
      <w:r>
        <w:t>.</w:t>
      </w:r>
      <w:bookmarkEnd w:id="58"/>
    </w:p>
    <w:sectPr w:rsidR="004D2B89" w:rsidSect="00A8449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675"/>
    <w:multiLevelType w:val="hybridMultilevel"/>
    <w:tmpl w:val="95C084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730"/>
    <w:multiLevelType w:val="hybridMultilevel"/>
    <w:tmpl w:val="D82A3E2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133B"/>
    <w:multiLevelType w:val="hybridMultilevel"/>
    <w:tmpl w:val="02AA8650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453F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507AE"/>
    <w:multiLevelType w:val="hybridMultilevel"/>
    <w:tmpl w:val="A2EA5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874"/>
    <w:multiLevelType w:val="hybridMultilevel"/>
    <w:tmpl w:val="F4A4FB5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2A10"/>
    <w:multiLevelType w:val="hybridMultilevel"/>
    <w:tmpl w:val="DD78E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058CB"/>
    <w:multiLevelType w:val="hybridMultilevel"/>
    <w:tmpl w:val="4F643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0719B"/>
    <w:multiLevelType w:val="hybridMultilevel"/>
    <w:tmpl w:val="43AEC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41373"/>
    <w:multiLevelType w:val="hybridMultilevel"/>
    <w:tmpl w:val="CF384C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81570"/>
    <w:multiLevelType w:val="hybridMultilevel"/>
    <w:tmpl w:val="25CEA7FE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83A77"/>
    <w:multiLevelType w:val="hybridMultilevel"/>
    <w:tmpl w:val="5BDEB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144"/>
    <w:multiLevelType w:val="hybridMultilevel"/>
    <w:tmpl w:val="0ACCAE4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007BE"/>
    <w:multiLevelType w:val="hybridMultilevel"/>
    <w:tmpl w:val="4AC6E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56EF0"/>
    <w:multiLevelType w:val="hybridMultilevel"/>
    <w:tmpl w:val="690EBB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E139C"/>
    <w:multiLevelType w:val="hybridMultilevel"/>
    <w:tmpl w:val="DA5811D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12F3"/>
    <w:multiLevelType w:val="hybridMultilevel"/>
    <w:tmpl w:val="4364C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0428"/>
    <w:multiLevelType w:val="hybridMultilevel"/>
    <w:tmpl w:val="5D7E3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837C9"/>
    <w:multiLevelType w:val="hybridMultilevel"/>
    <w:tmpl w:val="82346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4067E"/>
    <w:multiLevelType w:val="singleLevel"/>
    <w:tmpl w:val="5C160C50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0" w15:restartNumberingAfterBreak="0">
    <w:nsid w:val="4D283282"/>
    <w:multiLevelType w:val="hybridMultilevel"/>
    <w:tmpl w:val="AB88F6A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F4425"/>
    <w:multiLevelType w:val="hybridMultilevel"/>
    <w:tmpl w:val="0AFCB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87041"/>
    <w:multiLevelType w:val="hybridMultilevel"/>
    <w:tmpl w:val="73B0A0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731EC"/>
    <w:multiLevelType w:val="hybridMultilevel"/>
    <w:tmpl w:val="DB08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847E5"/>
    <w:multiLevelType w:val="hybridMultilevel"/>
    <w:tmpl w:val="BBEC06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7664F"/>
    <w:multiLevelType w:val="hybridMultilevel"/>
    <w:tmpl w:val="5846D334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B20BE"/>
    <w:multiLevelType w:val="hybridMultilevel"/>
    <w:tmpl w:val="8BE41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E5B47"/>
    <w:multiLevelType w:val="singleLevel"/>
    <w:tmpl w:val="F71CB338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8" w15:restartNumberingAfterBreak="0">
    <w:nsid w:val="5A787004"/>
    <w:multiLevelType w:val="singleLevel"/>
    <w:tmpl w:val="3246257E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9" w15:restartNumberingAfterBreak="0">
    <w:nsid w:val="5E2E5288"/>
    <w:multiLevelType w:val="hybridMultilevel"/>
    <w:tmpl w:val="E2D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3793F"/>
    <w:multiLevelType w:val="hybridMultilevel"/>
    <w:tmpl w:val="6A4C6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D5120"/>
    <w:multiLevelType w:val="hybridMultilevel"/>
    <w:tmpl w:val="0804E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338F1"/>
    <w:multiLevelType w:val="singleLevel"/>
    <w:tmpl w:val="7A3483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3" w15:restartNumberingAfterBreak="0">
    <w:nsid w:val="6DA3672A"/>
    <w:multiLevelType w:val="hybridMultilevel"/>
    <w:tmpl w:val="F6827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C3B24"/>
    <w:multiLevelType w:val="hybridMultilevel"/>
    <w:tmpl w:val="DB828C1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5" w15:restartNumberingAfterBreak="0">
    <w:nsid w:val="70C6199A"/>
    <w:multiLevelType w:val="hybridMultilevel"/>
    <w:tmpl w:val="D0F614A2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B1FC8"/>
    <w:multiLevelType w:val="hybridMultilevel"/>
    <w:tmpl w:val="C89EE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7"/>
  </w:num>
  <w:num w:numId="4">
    <w:abstractNumId w:val="22"/>
  </w:num>
  <w:num w:numId="5">
    <w:abstractNumId w:val="0"/>
  </w:num>
  <w:num w:numId="6">
    <w:abstractNumId w:val="23"/>
  </w:num>
  <w:num w:numId="7">
    <w:abstractNumId w:val="31"/>
  </w:num>
  <w:num w:numId="8">
    <w:abstractNumId w:val="7"/>
  </w:num>
  <w:num w:numId="9">
    <w:abstractNumId w:val="6"/>
  </w:num>
  <w:num w:numId="10">
    <w:abstractNumId w:val="21"/>
  </w:num>
  <w:num w:numId="11">
    <w:abstractNumId w:val="30"/>
  </w:num>
  <w:num w:numId="12">
    <w:abstractNumId w:val="4"/>
  </w:num>
  <w:num w:numId="13">
    <w:abstractNumId w:val="27"/>
  </w:num>
  <w:num w:numId="14">
    <w:abstractNumId w:val="28"/>
  </w:num>
  <w:num w:numId="15">
    <w:abstractNumId w:val="19"/>
  </w:num>
  <w:num w:numId="16">
    <w:abstractNumId w:val="32"/>
  </w:num>
  <w:num w:numId="17">
    <w:abstractNumId w:val="14"/>
  </w:num>
  <w:num w:numId="18">
    <w:abstractNumId w:val="13"/>
  </w:num>
  <w:num w:numId="19">
    <w:abstractNumId w:val="24"/>
  </w:num>
  <w:num w:numId="20">
    <w:abstractNumId w:val="9"/>
  </w:num>
  <w:num w:numId="21">
    <w:abstractNumId w:val="3"/>
  </w:num>
  <w:num w:numId="22">
    <w:abstractNumId w:val="26"/>
  </w:num>
  <w:num w:numId="23">
    <w:abstractNumId w:val="8"/>
  </w:num>
  <w:num w:numId="24">
    <w:abstractNumId w:val="34"/>
  </w:num>
  <w:num w:numId="25">
    <w:abstractNumId w:val="10"/>
  </w:num>
  <w:num w:numId="26">
    <w:abstractNumId w:val="2"/>
  </w:num>
  <w:num w:numId="27">
    <w:abstractNumId w:val="15"/>
  </w:num>
  <w:num w:numId="28">
    <w:abstractNumId w:val="25"/>
  </w:num>
  <w:num w:numId="29">
    <w:abstractNumId w:val="16"/>
  </w:num>
  <w:num w:numId="30">
    <w:abstractNumId w:val="1"/>
  </w:num>
  <w:num w:numId="31">
    <w:abstractNumId w:val="20"/>
  </w:num>
  <w:num w:numId="32">
    <w:abstractNumId w:val="12"/>
  </w:num>
  <w:num w:numId="33">
    <w:abstractNumId w:val="35"/>
  </w:num>
  <w:num w:numId="34">
    <w:abstractNumId w:val="5"/>
  </w:num>
  <w:num w:numId="35">
    <w:abstractNumId w:val="29"/>
  </w:num>
  <w:num w:numId="36">
    <w:abstractNumId w:val="3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89"/>
    <w:rsid w:val="001D3BF0"/>
    <w:rsid w:val="002703EE"/>
    <w:rsid w:val="004D2B89"/>
    <w:rsid w:val="009119EA"/>
    <w:rsid w:val="00A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EB30"/>
  <w15:chartTrackingRefBased/>
  <w15:docId w15:val="{09D84446-B506-430F-A42D-1AFA09F9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2B89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D2B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B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2B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2B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D2B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4D2B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4D2B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B8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2B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2B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D2B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4D2B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4D2B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4D2B89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D2B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D2B8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8449F"/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4D2B89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8449F"/>
    <w:pPr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A8449F"/>
    <w:pPr>
      <w:ind w:left="442"/>
    </w:pPr>
    <w:rPr>
      <w:sz w:val="18"/>
    </w:rPr>
  </w:style>
  <w:style w:type="character" w:styleId="Enfasidelicata">
    <w:name w:val="Subtle Emphasis"/>
    <w:basedOn w:val="Carpredefinitoparagrafo"/>
    <w:uiPriority w:val="19"/>
    <w:qFormat/>
    <w:rsid w:val="004D2B89"/>
    <w:rPr>
      <w:i/>
      <w:iCs/>
      <w:color w:val="404040" w:themeColor="text1" w:themeTint="BF"/>
      <w:sz w:val="18"/>
      <w:szCs w:val="18"/>
    </w:rPr>
  </w:style>
  <w:style w:type="paragraph" w:styleId="Nessunaspaziatura">
    <w:name w:val="No Spacing"/>
    <w:uiPriority w:val="1"/>
    <w:qFormat/>
    <w:rsid w:val="004D2B89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4D2B89"/>
    <w:rPr>
      <w:i/>
      <w:iCs/>
      <w:color w:val="5B9BD5" w:themeColor="accent1"/>
    </w:rPr>
  </w:style>
  <w:style w:type="character" w:styleId="Enfasigrassetto">
    <w:name w:val="Strong"/>
    <w:basedOn w:val="Carpredefinitoparagrafo"/>
    <w:uiPriority w:val="22"/>
    <w:qFormat/>
    <w:rsid w:val="004D2B89"/>
    <w:rPr>
      <w:b/>
      <w:bCs/>
    </w:rPr>
  </w:style>
  <w:style w:type="character" w:styleId="Enfasicorsivo">
    <w:name w:val="Emphasis"/>
    <w:basedOn w:val="Carpredefinitoparagrafo"/>
    <w:uiPriority w:val="20"/>
    <w:qFormat/>
    <w:rsid w:val="004D2B89"/>
    <w:rPr>
      <w:i/>
      <w:i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2B8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B89"/>
    <w:rPr>
      <w:rFonts w:eastAsiaTheme="minorEastAsia"/>
      <w:color w:val="5A5A5A" w:themeColor="text1" w:themeTint="A5"/>
      <w:spacing w:val="15"/>
    </w:rPr>
  </w:style>
  <w:style w:type="paragraph" w:styleId="Sommario8">
    <w:name w:val="toc 8"/>
    <w:basedOn w:val="Normale"/>
    <w:next w:val="Normale"/>
    <w:autoRedefine/>
    <w:uiPriority w:val="39"/>
    <w:unhideWhenUsed/>
    <w:rsid w:val="004D2B89"/>
    <w:pPr>
      <w:spacing w:after="100" w:line="259" w:lineRule="auto"/>
      <w:ind w:left="1540"/>
      <w:jc w:val="left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A8449F"/>
    <w:pPr>
      <w:ind w:left="658"/>
      <w:jc w:val="left"/>
    </w:pPr>
    <w:rPr>
      <w:rFonts w:eastAsiaTheme="minorEastAsia"/>
      <w:sz w:val="18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D2B89"/>
    <w:pPr>
      <w:spacing w:after="100" w:line="259" w:lineRule="auto"/>
      <w:ind w:left="880"/>
      <w:jc w:val="left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4D2B89"/>
    <w:pPr>
      <w:spacing w:after="100" w:line="259" w:lineRule="auto"/>
      <w:ind w:left="1100"/>
      <w:jc w:val="left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D2B89"/>
    <w:pPr>
      <w:spacing w:after="100" w:line="259" w:lineRule="auto"/>
      <w:ind w:left="1320"/>
      <w:jc w:val="left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D2B89"/>
    <w:pPr>
      <w:spacing w:after="100" w:line="259" w:lineRule="auto"/>
      <w:ind w:left="1760"/>
      <w:jc w:val="left"/>
    </w:pPr>
    <w:rPr>
      <w:rFonts w:eastAsiaTheme="minorEastAsia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B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B89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4D2B8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72821-0E9D-43AA-94EE-189DB620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2021-03-17T17:53:00Z</dcterms:created>
  <dcterms:modified xsi:type="dcterms:W3CDTF">2021-03-17T18:37:00Z</dcterms:modified>
</cp:coreProperties>
</file>