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Brightpath Software - Employee Handbook (2026 edition)</w:t>
      </w:r>
    </w:p>
    <w:p>
      <w:r>
        <w:t>This handbook summarises the policies that apply to all Brightpath Software employees. Brightpath Software is a fictional company used for demonstration purposes.</w:t>
      </w:r>
    </w:p>
    <w:p>
      <w:pPr>
        <w:pStyle w:val="Heading1"/>
      </w:pPr>
      <w:r>
        <w:t>1. Paid time off</w:t>
      </w:r>
    </w:p>
    <w:p>
      <w:r>
        <w:t>Full-time employees accrue 1.75 days of paid time off (PTO) per month, which is 21 days per year. Part-time employees accrue PTO pro rata to their contracted hours.</w:t>
      </w:r>
    </w:p>
    <w:p>
      <w:r>
        <w:t>Up to 5 unused PTO days can be carried over into the next calendar year. Carried-over days expire on March 31 if they are not used.</w:t>
      </w:r>
    </w:p>
    <w:p>
      <w:r>
        <w:t>PTO requests longer than 5 consecutive working days must be submitted at least 4 weeks in advance through the HR portal.</w:t>
      </w:r>
    </w:p>
    <w:p>
      <w:pPr>
        <w:pStyle w:val="Heading1"/>
      </w:pPr>
      <w:r>
        <w:t>2. Remote work</w:t>
      </w:r>
    </w:p>
    <w:p>
      <w:r>
        <w:t>Employees may work remotely up to 3 days per week. Core collaboration hours are 10:00 to 15:00 local time, during which employees are expected to be reachable.</w:t>
      </w:r>
    </w:p>
    <w:p>
      <w:r>
        <w:t>New remote-eligible employees receive a one-time home office stipend of $600 and a monthly internet allowance of $40.</w:t>
      </w:r>
    </w:p>
    <w:p>
      <w:pPr>
        <w:pStyle w:val="Heading1"/>
      </w:pPr>
      <w:r>
        <w:t>3. Expenses</w:t>
      </w:r>
    </w:p>
    <w:p>
      <w:r>
        <w:t>Business expenses must be submitted within 30 days of purchase through the Ledgerly expense portal. Receipts are required for any expense over $25. Expenses above $500 require written approval from your manager before purchase.</w:t>
      </w:r>
    </w:p>
    <w:p>
      <w:pPr>
        <w:pStyle w:val="Heading1"/>
      </w:pPr>
      <w:r>
        <w:t>4. Parental leave</w:t>
      </w:r>
    </w:p>
    <w:p>
      <w:r>
        <w:t>Primary caregivers receive 16 weeks of fully paid parental leave. Secondary caregivers receive 6 weeks of fully paid parental leave. Leave can be taken within 12 months of the birth or adoption.</w:t>
      </w:r>
    </w:p>
    <w:p>
      <w:pPr>
        <w:pStyle w:val="Heading1"/>
      </w:pPr>
      <w:r>
        <w:t>5. Learning and development</w:t>
      </w:r>
    </w:p>
    <w:p>
      <w:r>
        <w:t>Every employee has an annual learning budget of $1,200 for courses, books and conferences. Unused learning budget does not roll over.</w:t>
      </w:r>
    </w:p>
    <w:p>
      <w:pPr>
        <w:pStyle w:val="Heading1"/>
      </w:pPr>
      <w:r>
        <w:t>6. Probation</w:t>
      </w:r>
    </w:p>
    <w:p>
      <w:r>
        <w:t>New employees complete a 90-day probation period. During probation the notice period for either side is one week.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Holiday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New Year's Day</w:t>
            </w:r>
          </w:p>
        </w:tc>
        <w:tc>
          <w:tcPr>
            <w:tcW w:type="dxa" w:w="4320"/>
          </w:tcPr>
          <w:p>
            <w:r>
              <w:t>January 1</w:t>
            </w:r>
          </w:p>
        </w:tc>
      </w:tr>
      <w:tr>
        <w:tc>
          <w:tcPr>
            <w:tcW w:type="dxa" w:w="4320"/>
          </w:tcPr>
          <w:p>
            <w:r>
              <w:t>Founders' Day</w:t>
            </w:r>
          </w:p>
        </w:tc>
        <w:tc>
          <w:tcPr>
            <w:tcW w:type="dxa" w:w="4320"/>
          </w:tcPr>
          <w:p>
            <w:r>
              <w:t>June 14</w:t>
            </w:r>
          </w:p>
        </w:tc>
      </w:tr>
      <w:tr>
        <w:tc>
          <w:tcPr>
            <w:tcW w:type="dxa" w:w="4320"/>
          </w:tcPr>
          <w:p>
            <w:r>
              <w:t>Winter Break</w:t>
            </w:r>
          </w:p>
        </w:tc>
        <w:tc>
          <w:tcPr>
            <w:tcW w:type="dxa" w:w="4320"/>
          </w:tcPr>
          <w:p>
            <w:r>
              <w:t>December 24 to December 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