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8896" w14:textId="49B34310" w:rsidR="00C15645" w:rsidRDefault="00C15645" w:rsidP="00C156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Políticas </w:t>
      </w:r>
      <w:r w:rsidRPr="00C156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de Reconocimiento y Seguridad</w:t>
      </w:r>
    </w:p>
    <w:p w14:paraId="684E5EAC" w14:textId="77777777" w:rsidR="00C15645" w:rsidRPr="00C15645" w:rsidRDefault="00C15645" w:rsidP="00C15645">
      <w:pPr>
        <w:rPr>
          <w:b/>
          <w:bCs/>
          <w:lang w:val="es-ES"/>
        </w:rPr>
      </w:pPr>
    </w:p>
    <w:p w14:paraId="238EA2AE" w14:textId="15749836" w:rsidR="006D4784" w:rsidRPr="006D4784" w:rsidRDefault="006D4784" w:rsidP="006D478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D4784">
        <w:rPr>
          <w:rFonts w:ascii="Times New Roman" w:hAnsi="Times New Roman" w:cs="Times New Roman"/>
          <w:sz w:val="24"/>
          <w:szCs w:val="24"/>
          <w:lang w:val="es-ES"/>
        </w:rPr>
        <w:t xml:space="preserve">Fecha: </w:t>
      </w:r>
      <w:r>
        <w:rPr>
          <w:rFonts w:ascii="Times New Roman" w:hAnsi="Times New Roman" w:cs="Times New Roman"/>
          <w:sz w:val="24"/>
          <w:szCs w:val="24"/>
          <w:lang w:val="es-ES"/>
        </w:rPr>
        <w:t>10</w:t>
      </w:r>
      <w:r w:rsidRPr="006D4784">
        <w:rPr>
          <w:rFonts w:ascii="Times New Roman" w:hAnsi="Times New Roman" w:cs="Times New Roman"/>
          <w:sz w:val="24"/>
          <w:szCs w:val="24"/>
          <w:lang w:val="es-ES"/>
        </w:rPr>
        <w:t xml:space="preserve"> de Febrero de 2026</w:t>
      </w:r>
    </w:p>
    <w:p w14:paraId="3203C4A7" w14:textId="77777777" w:rsidR="006D4784" w:rsidRPr="006D4784" w:rsidRDefault="006D4784" w:rsidP="006D478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D4784">
        <w:rPr>
          <w:rFonts w:ascii="Times New Roman" w:hAnsi="Times New Roman" w:cs="Times New Roman"/>
          <w:sz w:val="24"/>
          <w:szCs w:val="24"/>
          <w:lang w:val="es-ES"/>
        </w:rPr>
        <w:t>Autor: Felipe Jaimes Meza</w:t>
      </w:r>
    </w:p>
    <w:p w14:paraId="5503C55C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CB7437A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Objetivo</w:t>
      </w:r>
    </w:p>
    <w:p w14:paraId="6DA445C2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Definir reglas, controles y procedimientos para reconocimiento de usuario, captura de audio, manejo de datos clínicos (GDS‑15 / PHQ‑9), detección de riesgo y seguridad operativa dentro del flujo de la Skill.</w:t>
      </w:r>
    </w:p>
    <w:p w14:paraId="52150448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B523213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Alcance</w:t>
      </w:r>
    </w:p>
    <w:p w14:paraId="6B57B64D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Esta política aplica al backend (Edge Functions / API), la base de datos en Supabase, y al almacenamiento de audio en Supabase Storage. No aplica al comportamiento de voz en el dispositivo del usuario salvo consentimiento informado.</w:t>
      </w:r>
    </w:p>
    <w:p w14:paraId="1EF9990B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870F237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1. Consentimiento y entrada en flujo</w:t>
      </w:r>
    </w:p>
    <w:p w14:paraId="50092329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Consentimiento explícito: antes de grabar audio o almacenar segmentos identificables, la Skill debe pedir y registrar `consent_given=true` en `sessions`.</w:t>
      </w:r>
    </w:p>
    <w:p w14:paraId="0996CD6A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Consentimiento granular: ofrecer opción para:</w:t>
      </w:r>
    </w:p>
    <w:p w14:paraId="79531619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Analizar solamente texto (ASR) sin almacenar audio.</w:t>
      </w:r>
    </w:p>
    <w:p w14:paraId="0383BEF0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Analizar audio y almacenar métricas anónimas (si `consent_given=true`).</w:t>
      </w:r>
    </w:p>
    <w:p w14:paraId="7040A86B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Almacenamiento de audio para revisión clínica (opción separada).</w:t>
      </w:r>
    </w:p>
    <w:p w14:paraId="7B8A09A7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Registro: cada decisión de consentimiento se registra en `sessions.consent_given`, `sessions.consent_timestamp` y `sessions.consent_details`.</w:t>
      </w:r>
    </w:p>
    <w:p w14:paraId="79A14460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</w:rPr>
      </w:pPr>
    </w:p>
    <w:p w14:paraId="3AC908B1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2. Captura y retención de audio</w:t>
      </w:r>
    </w:p>
    <w:p w14:paraId="4D5F44D8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Minimizar: grabar solo cuando sea necesario. Preferir ASR en el dispositivo y enviar solo texto cuando sea posible.</w:t>
      </w:r>
    </w:p>
    <w:p w14:paraId="5AE0E470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lastRenderedPageBreak/>
        <w:t>Almacenamiento: guardar audio en bucket privado en Supabase Storage; usar `audio_path` y `audio_hash` en `audio_metrics`.</w:t>
      </w:r>
    </w:p>
    <w:p w14:paraId="00A891F4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Retención: política default 180 días; borrar automáticamente con job programado (pg_cron o Scheduler). </w:t>
      </w:r>
      <w:r w:rsidRPr="00C15645">
        <w:rPr>
          <w:rFonts w:ascii="Times New Roman" w:hAnsi="Times New Roman" w:cs="Times New Roman"/>
          <w:sz w:val="24"/>
          <w:szCs w:val="24"/>
        </w:rPr>
        <w:t>Archivar a largo plazo sólo si justificado clínicamente.</w:t>
      </w:r>
    </w:p>
    <w:p w14:paraId="5DF3FB61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</w:rPr>
      </w:pPr>
    </w:p>
    <w:p w14:paraId="73FFABDA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3. Anonimización y pseudonimización</w:t>
      </w:r>
    </w:p>
    <w:p w14:paraId="3270B9EA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Pseudónimo: usar `pseudonym` en `sessions` en lugar de PII; separar tabla `users` si se requiere mapping con controles adicionales.</w:t>
      </w:r>
    </w:p>
    <w:p w14:paraId="29991941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Tokens: cualquier identificador correlacionable (emails, phone) no se debe almacenar en texto plano.</w:t>
      </w:r>
    </w:p>
    <w:p w14:paraId="716AA4E2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3445CE0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4. Roles y credenciales</w:t>
      </w:r>
    </w:p>
    <w:p w14:paraId="10ABD113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Service role: solo en backend servidor (Edge Function). </w:t>
      </w:r>
      <w:r w:rsidRPr="00C15645">
        <w:rPr>
          <w:rFonts w:ascii="Times New Roman" w:hAnsi="Times New Roman" w:cs="Times New Roman"/>
          <w:sz w:val="24"/>
          <w:szCs w:val="24"/>
          <w:lang w:val="es-ES"/>
        </w:rPr>
        <w:t>Nunca exponer `service_role` al cliente.</w:t>
      </w:r>
    </w:p>
    <w:p w14:paraId="2A807542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Roles DB:</w:t>
      </w:r>
    </w:p>
    <w:p w14:paraId="1D1F3707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`anon`: solo lectura limitada y permite insert de `sessions` sin audio.</w:t>
      </w:r>
    </w:p>
    <w:p w14:paraId="518EB70C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`authenticated` (client): acceso restringido mediante RLS.</w:t>
      </w:r>
    </w:p>
    <w:p w14:paraId="6B112757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`service_role` (server): uso para migraciones, jobs y operaciones administrativas.</w:t>
      </w:r>
    </w:p>
    <w:p w14:paraId="0C1F2899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2652FF4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5. Row Level Security (RLS) — reglas recomendadas</w:t>
      </w:r>
    </w:p>
    <w:p w14:paraId="1EED6A3A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Habilitar RLS en tablas sensibles: `audio_metrics`, `decision_audit`, `clinical_mappings` (si contiene PII).</w:t>
      </w:r>
    </w:p>
    <w:p w14:paraId="1510EA98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Ejemplos de políticas (resumidas):</w:t>
      </w:r>
    </w:p>
    <w:p w14:paraId="4504938C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- Permitir `insert` en `audio_metrics` solo si `EXISTS (SELECT 1 FROM sessions s WHERE s.session_id = new.session_id AND s.consent_given = true)`.</w:t>
      </w:r>
    </w:p>
    <w:p w14:paraId="5B9D42E4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</w:t>
      </w:r>
      <w:r w:rsidRPr="00C15645">
        <w:rPr>
          <w:rFonts w:ascii="Times New Roman" w:hAnsi="Times New Roman" w:cs="Times New Roman"/>
          <w:sz w:val="24"/>
          <w:szCs w:val="24"/>
          <w:lang w:val="es-ES"/>
        </w:rPr>
        <w:t>- Permitir `select` en `decision_audit` solo a roles con claim `role = 'clinician'` o a `service_role`.</w:t>
      </w:r>
    </w:p>
    <w:p w14:paraId="3B1C0749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D5048EC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6. Detección de riesgo y flujos de respuesta</w:t>
      </w:r>
    </w:p>
    <w:p w14:paraId="4C0A5190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lastRenderedPageBreak/>
        <w:t>Regla PHQ‑9#9: si el mapping produce una puntuación para el ítem 9 tal que `weight * confidence &gt;= 0.2`, crear `risk_events` con `risk_type = 'PHQ9_ITEM9'` y `notified = false`.</w:t>
      </w:r>
    </w:p>
    <w:p w14:paraId="42E7D442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Escalamiento humano: notificar a un operador/clínico designado; no ejecutar acciones automáticas de intervención sin revisión humana.</w:t>
      </w:r>
    </w:p>
    <w:p w14:paraId="52C6C4BD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Time to respond: definir SLA interno (ej. 24 horas para revisión inicial; 4 horas para casos señalados como alto riesgo).</w:t>
      </w:r>
    </w:p>
    <w:p w14:paraId="2E765B8E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Registro de notificación: `risk_events.notified_at`, `risk_events.action_taken`, `risk_events.resolution_notes`.</w:t>
      </w:r>
    </w:p>
    <w:p w14:paraId="0DA328B6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</w:rPr>
      </w:pPr>
    </w:p>
    <w:p w14:paraId="475D8497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7. Auditoría y trazabilidad</w:t>
      </w:r>
    </w:p>
    <w:p w14:paraId="69B470B7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Guardar `llm_request`, `llm_response` y `validation_result` en `decision_audit` (acceso restringido).</w:t>
      </w:r>
    </w:p>
    <w:p w14:paraId="4A5510D8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Retener logs de auditoría por 720 días o según regulación local; permitir export a almacenamiento seguro para auditoría clínica.</w:t>
      </w:r>
    </w:p>
    <w:p w14:paraId="3C740BAE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F0EA8D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8. Seguridad de LLM y datos derivados</w:t>
      </w:r>
    </w:p>
    <w:p w14:paraId="176302FC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Criterio de confidencialidad: no enviar campos PII a LLM sin consentimiento y sin pasar por un sanitizador. </w:t>
      </w:r>
      <w:r w:rsidRPr="00C15645">
        <w:rPr>
          <w:rFonts w:ascii="Times New Roman" w:hAnsi="Times New Roman" w:cs="Times New Roman"/>
          <w:sz w:val="24"/>
          <w:szCs w:val="24"/>
        </w:rPr>
        <w:t>Preferir mapping descriptores (labels) en vez de texto libre.</w:t>
      </w:r>
    </w:p>
    <w:p w14:paraId="4C763644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Fallbacks: si `designer_mapping` existe, usarlo; si se usa LLM, registrar `mapping_source = 'llm'` y `source_confidence`.</w:t>
      </w:r>
    </w:p>
    <w:p w14:paraId="6E0CBBCC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</w:rPr>
      </w:pPr>
    </w:p>
    <w:p w14:paraId="798D6CEE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9. Acceso, monitoreo y alertas</w:t>
      </w:r>
    </w:p>
    <w:p w14:paraId="4198CEFC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Monitor: métricas de ingest, latencia LLM, tasa de detecciones de riesgo por día.</w:t>
      </w:r>
    </w:p>
    <w:p w14:paraId="1E498260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Alertas: alta tasa de PHQ9#9 (p.ej &gt; X por día) dispara alerta a canal de operación.</w:t>
      </w:r>
    </w:p>
    <w:p w14:paraId="051B54C7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48FF6BE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10. Incidentes y respuesta</w:t>
      </w:r>
    </w:p>
    <w:p w14:paraId="21F97D17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Procedimiento: triage → notificación responsable clínico → registro en `risk_events` → auditoría del caso en `decision_audit`.</w:t>
      </w:r>
    </w:p>
    <w:p w14:paraId="7B409951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Comunicación al usuario: según política de comunicación y consentimiento, enviar información y recursos (no consejo clínico automatizado).</w:t>
      </w:r>
    </w:p>
    <w:p w14:paraId="7846C0F1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D64DBF4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lastRenderedPageBreak/>
        <w:t>11. Pruebas y validación</w:t>
      </w:r>
    </w:p>
    <w:p w14:paraId="315709F7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Test suites:</w:t>
      </w:r>
    </w:p>
    <w:p w14:paraId="732618E7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- Payloads sintéticos con PHQ/GDS edge cases.</w:t>
      </w:r>
    </w:p>
    <w:p w14:paraId="17963D66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</w:t>
      </w:r>
      <w:r w:rsidRPr="00C15645">
        <w:rPr>
          <w:rFonts w:ascii="Times New Roman" w:hAnsi="Times New Roman" w:cs="Times New Roman"/>
          <w:sz w:val="24"/>
          <w:szCs w:val="24"/>
          <w:lang w:val="es-ES"/>
        </w:rPr>
        <w:t>- Inserciones con/without consent para validar RLS.</w:t>
      </w:r>
    </w:p>
    <w:p w14:paraId="79BE1FAF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 xml:space="preserve">  - Simular LLM mappings con baja confianza para validar `source_confidence` handling.</w:t>
      </w:r>
    </w:p>
    <w:p w14:paraId="0DD26E2B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CD9292F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12. Despliegue y checklist</w:t>
      </w:r>
    </w:p>
    <w:p w14:paraId="120DC772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Revisar variables de entorno: `SUPABASE_URL`, `SUPABASE_SERVICE_ROLE_KEY`, `LLM_API_KEY`.</w:t>
      </w:r>
    </w:p>
    <w:p w14:paraId="35A90BF3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Verificar buckets y políticas Storage (privado, signed URLs).</w:t>
      </w:r>
    </w:p>
    <w:p w14:paraId="313C3136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Ejecutar migraciones en staging y validar RLS.</w:t>
      </w:r>
    </w:p>
    <w:p w14:paraId="6D38A67A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1578990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Anexos rápidos</w:t>
      </w:r>
    </w:p>
    <w:p w14:paraId="06451AE1" w14:textId="77777777" w:rsidR="00D520D6" w:rsidRPr="00C15645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Sugerencia SQL RLS (ejemplo):</w:t>
      </w:r>
    </w:p>
    <w:p w14:paraId="2424DABE" w14:textId="77777777" w:rsidR="00D520D6" w:rsidRPr="00C15645" w:rsidRDefault="00D520D6">
      <w:pPr>
        <w:rPr>
          <w:rFonts w:ascii="Times New Roman" w:hAnsi="Times New Roman" w:cs="Times New Roman"/>
          <w:sz w:val="24"/>
          <w:szCs w:val="24"/>
        </w:rPr>
      </w:pPr>
    </w:p>
    <w:p w14:paraId="34E87CEC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```sql</w:t>
      </w:r>
    </w:p>
    <w:p w14:paraId="560D31AA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15645">
        <w:rPr>
          <w:rFonts w:ascii="Times New Roman" w:hAnsi="Times New Roman" w:cs="Times New Roman"/>
          <w:sz w:val="24"/>
          <w:szCs w:val="24"/>
          <w:lang w:val="es-ES"/>
        </w:rPr>
        <w:t>-- Permitir insert audio_metrics solo si la sesión tiene consentimiento</w:t>
      </w:r>
    </w:p>
    <w:p w14:paraId="53372EFB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CREATE POLICY insert_audio_if_consented ON audio_metrics</w:t>
      </w:r>
    </w:p>
    <w:p w14:paraId="0712466D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FOR INSERT USING (</w:t>
      </w:r>
    </w:p>
    <w:p w14:paraId="63248502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EXISTS (</w:t>
      </w:r>
    </w:p>
    <w:p w14:paraId="0B0F8D86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  SELECT 1 FROM sessions s WHERE s.session_id = audio_metrics.session_id AND s.consent_given = true</w:t>
      </w:r>
    </w:p>
    <w:p w14:paraId="6EB50174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3105ACB0" w14:textId="77777777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);</w:t>
      </w:r>
    </w:p>
    <w:p w14:paraId="5D5F563B" w14:textId="4F583C1A" w:rsidR="00D520D6" w:rsidRPr="00C15645" w:rsidRDefault="00000000">
      <w:pPr>
        <w:rPr>
          <w:rFonts w:ascii="Times New Roman" w:hAnsi="Times New Roman" w:cs="Times New Roman"/>
          <w:sz w:val="24"/>
          <w:szCs w:val="24"/>
        </w:rPr>
      </w:pPr>
      <w:r w:rsidRPr="00C15645">
        <w:rPr>
          <w:rFonts w:ascii="Times New Roman" w:hAnsi="Times New Roman" w:cs="Times New Roman"/>
          <w:sz w:val="24"/>
          <w:szCs w:val="24"/>
        </w:rPr>
        <w:t>```</w:t>
      </w:r>
    </w:p>
    <w:sectPr w:rsidR="00D520D6" w:rsidRPr="00C156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110564">
    <w:abstractNumId w:val="8"/>
  </w:num>
  <w:num w:numId="2" w16cid:durableId="1143160704">
    <w:abstractNumId w:val="6"/>
  </w:num>
  <w:num w:numId="3" w16cid:durableId="100877472">
    <w:abstractNumId w:val="5"/>
  </w:num>
  <w:num w:numId="4" w16cid:durableId="1600455589">
    <w:abstractNumId w:val="4"/>
  </w:num>
  <w:num w:numId="5" w16cid:durableId="1099331958">
    <w:abstractNumId w:val="7"/>
  </w:num>
  <w:num w:numId="6" w16cid:durableId="5791258">
    <w:abstractNumId w:val="3"/>
  </w:num>
  <w:num w:numId="7" w16cid:durableId="1484082262">
    <w:abstractNumId w:val="2"/>
  </w:num>
  <w:num w:numId="8" w16cid:durableId="1732457550">
    <w:abstractNumId w:val="1"/>
  </w:num>
  <w:num w:numId="9" w16cid:durableId="165957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3E"/>
    <w:rsid w:val="006D4784"/>
    <w:rsid w:val="00AA1D8D"/>
    <w:rsid w:val="00B47730"/>
    <w:rsid w:val="00C15645"/>
    <w:rsid w:val="00CB0664"/>
    <w:rsid w:val="00D52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48842"/>
  <w14:defaultImageDpi w14:val="300"/>
  <w15:docId w15:val="{CBD5492E-4AB8-4E25-8328-3E586D44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785</Words>
  <Characters>4319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Jaimes Meza</cp:lastModifiedBy>
  <cp:revision>2</cp:revision>
  <dcterms:created xsi:type="dcterms:W3CDTF">2013-12-23T23:15:00Z</dcterms:created>
  <dcterms:modified xsi:type="dcterms:W3CDTF">2026-02-10T14:51:00Z</dcterms:modified>
  <cp:category/>
</cp:coreProperties>
</file>