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523EA" w14:paraId="348DBBAC" w14:textId="77777777" w:rsidTr="00152AB0">
        <w:trPr>
          <w:trHeight w:val="1843"/>
        </w:trPr>
        <w:tc>
          <w:tcPr>
            <w:tcW w:w="1843" w:type="dxa"/>
          </w:tcPr>
          <w:p w14:paraId="7B658B84" w14:textId="77777777" w:rsidR="006523EA" w:rsidRDefault="006523EA" w:rsidP="00152AB0">
            <w:pPr>
              <w:jc w:val="center"/>
            </w:pPr>
            <w:r w:rsidRPr="00B544B4">
              <w:rPr>
                <w:color w:val="auto"/>
                <w:noProof/>
              </w:rPr>
              <w:drawing>
                <wp:inline distT="0" distB="0" distL="0" distR="0" wp14:anchorId="3C657852" wp14:editId="1BC5BC88">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1A64EA7"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64240E58"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XÍ NGHIỆP TƯ VẤN</w:t>
            </w:r>
          </w:p>
          <w:p w14:paraId="56473038" w14:textId="77777777" w:rsidR="006523EA" w:rsidRPr="00826E92" w:rsidRDefault="006523EA"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411A904" w14:textId="77777777" w:rsidR="006523EA" w:rsidRPr="0092347C" w:rsidRDefault="006523EA"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2CC63389" w14:textId="2AE4518A" w:rsidR="008D5874" w:rsidRPr="00492860" w:rsidRDefault="00000000" w:rsidP="00492860">
      <w:pPr>
        <w:spacing w:before="240"/>
        <w:jc w:val="center"/>
        <w:rPr>
          <w:color w:val="auto"/>
          <w:rFonts w:ascii="Times New Roman" w:eastAsia="Times New Roman" w:hAnsi="Times New Roman" w:cs="Times New Roman"/>
          <w:b/>
          <w:bCs/>
          <w:sz w:val="24"/>
          <w:szCs w:val="24"/>
        </w:rPr>
      </w:pPr>
      <w:r>
        <w:rPr>
          <w:color w:val="auto"/>
          <w:rFonts w:ascii="Times New Roman" w:eastAsia="Times New Roman" w:hAnsi="Times New Roman" w:cs="Times New Roman"/>
          <w:b/>
          <w:bCs/>
          <w:sz w:val="48"/>
          <w:szCs w:val="48"/>
        </w:rPr>
        <w:t xml:space="preserve"> </w:t>
      </w:r>
      <w:r w:rsidR="00492860" w:rsidRPr="007B4FD0">
        <w:rPr>
          <w:color w:val="auto"/>
          <w:rFonts w:ascii="Times New Roman" w:eastAsia="Times New Roman" w:hAnsi="Times New Roman" w:cs="Times New Roman"/>
          <w:b/>
          <w:bCs/>
          <w:sz w:val="24"/>
          <w:szCs w:val="24"/>
        </w:rPr>
        <w:t xml:space="preserve">MÃ DỰ ÁN: </w:t>
      </w:r>
      <w:r w:rsidR="00492860" w:rsidRPr="007B4FD0">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452311FF" w14:textId="77777777" w:rsidR="005F7822" w:rsidRDefault="005F7822">
      <w:pPr>
        <w:jc w:val="center"/>
        <w:rPr>
          <w:color w:val="auto"/>
          <w:rFonts w:ascii="Times New Roman" w:eastAsia="Times New Roman" w:hAnsi="Times New Roman" w:cs="Times New Roman"/>
          <w:b/>
          <w:bCs/>
          <w:sz w:val="48"/>
          <w:szCs w:val="48"/>
        </w:rPr>
      </w:pPr>
    </w:p>
    <w:p w14:paraId="07F47366" w14:textId="77777777" w:rsidR="006523EA" w:rsidRDefault="006523EA" w:rsidP="006523EA">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47FBD6DD" w14:textId="77777777" w:rsidR="006523EA" w:rsidRDefault="006523EA" w:rsidP="006523EA">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236EA8B7" w14:textId="77777777" w:rsidR="006523EA" w:rsidRDefault="006523EA" w:rsidP="006523EA">
      <w:pPr>
        <w:jc w:val="center"/>
        <w:rPr>
          <w:color w:val="auto"/>
          <w:u w:val="single"/>
        </w:rPr>
      </w:pPr>
      <w:r>
        <w:rPr>
          <w:color w:val="auto"/>
          <w:rFonts w:ascii="Times New Roman" w:eastAsia="Times New Roman" w:hAnsi="Times New Roman" w:cs="Times New Roman"/>
          <w:b/>
          <w:bCs/>
          <w:sz w:val="32"/>
          <w:szCs w:val="32"/>
          <w:u w:val="single"/>
        </w:rPr>
        <w:t>DỰ ÁN</w:t>
      </w:r>
    </w:p>
    <w:p w14:paraId="674B3272" w14:textId="2213462B" w:rsidR="006523EA" w:rsidRDefault="006523EA" w:rsidP="006523EA">
      <w:pPr>
        <w:jc w:val="center"/>
      </w:pPr>
      <w:bookmarkStart w:id="0" w:name="_Hlk232630461"/>
      <w:r w:rsidRPr="006D0A1E">
        <w:rPr>
          <w:color w:val="auto"/>
          <w:rFonts w:ascii="Times New Roman" w:eastAsia="Times New Roman" w:hAnsi="Times New Roman" w:cs="Times New Roman"/>
          <w:b/>
          <w:bCs/>
          <w:sz w:val="36"/>
          <w:szCs w:val="36"/>
        </w:rPr>
        <w:t>{ten_du_an</w:t>
      </w:r>
      <w:r w:rsidR="00AD157D">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4ADB2192"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3A3B5EE"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3A23311"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Người lập: </w:t>
      </w:r>
      <w:r w:rsidRPr="00492860">
        <w:rPr>
          <w:color w:val="auto"/>
          <w:rFonts w:ascii="Times New Roman" w:eastAsia="Times New Roman" w:hAnsi="Times New Roman" w:cs="Times New Roman"/>
          <w:b/>
          <w:bCs/>
          <w:sz w:val="28"/>
          <w:szCs w:val="28"/>
        </w:rPr>
        <w:t>{nguoi_lap}</w:t>
      </w:r>
    </w:p>
    <w:p w14:paraId="108E04EC"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CNKS: </w:t>
      </w:r>
      <w:r w:rsidRPr="00492860">
        <w:rPr>
          <w:color w:val="auto"/>
          <w:rFonts w:ascii="Times New Roman" w:eastAsia="Times New Roman" w:hAnsi="Times New Roman" w:cs="Times New Roman"/>
          <w:b/>
          <w:bCs/>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6523EA" w14:paraId="30004934" w14:textId="77777777" w:rsidTr="00152AB0">
        <w:tc>
          <w:tcPr>
            <w:tcW w:w="4320" w:type="dxa"/>
          </w:tcPr>
          <w:p w14:paraId="24BA75BA" w14:textId="77777777" w:rsidR="006523EA" w:rsidRDefault="006523EA" w:rsidP="00152AB0">
            <w:pPr>
              <w:jc w:val="center"/>
            </w:pPr>
          </w:p>
        </w:tc>
        <w:tc>
          <w:tcPr>
            <w:tcW w:w="4320" w:type="dxa"/>
          </w:tcPr>
          <w:p w14:paraId="204314CC"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881A0BD" w14:textId="77777777" w:rsidR="006523EA" w:rsidRDefault="006523EA" w:rsidP="00152AB0">
            <w:pPr>
              <w:jc w:val="center"/>
            </w:pPr>
            <w:r>
              <w:rPr>
                <w:color w:val="auto"/>
                <w:rFonts w:ascii="Times New Roman" w:eastAsia="Times New Roman" w:hAnsi="Times New Roman" w:cs="Times New Roman"/>
                <w:b/>
                <w:bCs/>
                <w:sz w:val="26"/>
                <w:szCs w:val="26"/>
              </w:rPr>
              <w:t>PHÓ GIÁM ĐỐC</w:t>
            </w:r>
          </w:p>
        </w:tc>
      </w:tr>
      <w:tr w:rsidR="006523EA" w14:paraId="1BB53EF7" w14:textId="77777777" w:rsidTr="00152AB0">
        <w:tc>
          <w:tcPr>
            <w:tcW w:w="4320" w:type="dxa"/>
          </w:tcPr>
          <w:p w14:paraId="160521DD" w14:textId="77777777" w:rsidR="006523EA" w:rsidRDefault="006523EA" w:rsidP="00152AB0">
            <w:pPr>
              <w:jc w:val="center"/>
            </w:pPr>
          </w:p>
        </w:tc>
        <w:tc>
          <w:tcPr>
            <w:tcW w:w="4320" w:type="dxa"/>
          </w:tcPr>
          <w:p w14:paraId="5DF0EA2F"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7E54F12D"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33D47B3" w14:textId="77777777" w:rsidR="006523EA" w:rsidRDefault="006523EA" w:rsidP="006523EA">
      <w:pPr>
        <w:jc w:val="center"/>
      </w:pPr>
    </w:p>
    <w:p w14:paraId="30F459D2" w14:textId="77777777" w:rsidR="006523EA" w:rsidRDefault="006523EA" w:rsidP="006523EA">
      <w:pPr>
        <w:jc w:val="center"/>
      </w:pPr>
    </w:p>
    <w:p w14:paraId="0884AA35" w14:textId="04EA5386" w:rsidR="008D5874" w:rsidRDefault="00000000" w:rsidP="00AD157D">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335BE1E3"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6F58DBD"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754B886A"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DBD34E7" w14:textId="77777777" w:rsidR="006523EA" w:rsidRDefault="006523EA" w:rsidP="006523EA">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0EA37F6D"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315C35AA"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39839605"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238347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5C85C1C5"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27F409C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58270854"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b) Đối với Trạm biến áp</w:t>
      </w:r>
    </w:p>
    <w:p w14:paraId="3BFDD048"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5305A4F" w14:textId="01F5F6F5"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25B99B4D"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2: PHẠM VI KHẢO SÁT</w:t>
      </w:r>
    </w:p>
    <w:p w14:paraId="0C6B7D2B"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110kV:</w:t>
      </w:r>
    </w:p>
    <w:p w14:paraId="25739ACD"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 thỏa thuận trong bước BCNCKT.</w:t>
      </w:r>
    </w:p>
    <w:p w14:paraId="15FAFAAA"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chi tiết bình đồ hành lang tuyến, đo mặt cắt dọc, mặt cắt ngang tại 100% các vị trí cột cắm mới, các điểm giao chéo đường giao thông, điện, viễn thông và các khu vực địa hình có sự thay đổi đột ngột (ta luy, khe suối).</w:t>
      </w:r>
    </w:p>
    <w:p w14:paraId="34765BA7"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110kV:</w:t>
      </w:r>
    </w:p>
    <w:p w14:paraId="0C08D96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khoan thăm dò chi tiết bên trong ranh giới thu hồi đất xây dựng trạm biến áp đã được cắm mốc/thỏa thuận.</w:t>
      </w:r>
    </w:p>
    <w:p w14:paraId="184F99EF" w14:textId="45756A23"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71235A95"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6523EA" w14:paraId="58B8D5A2" w14:textId="77777777" w:rsidTr="00152AB0">
        <w:trPr>
          <w:tblHeader/>
        </w:trPr>
        <w:tc>
          <w:tcPr>
            <w:tcW w:w="817" w:type="dxa"/>
            <w:vAlign w:val="center"/>
          </w:tcPr>
          <w:p w14:paraId="0F2DAFB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66BA8207"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1C1B2721"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6523EA" w14:paraId="26D06D50" w14:textId="77777777" w:rsidTr="00152AB0">
        <w:tc>
          <w:tcPr>
            <w:tcW w:w="817" w:type="dxa"/>
            <w:vAlign w:val="center"/>
          </w:tcPr>
          <w:p w14:paraId="45E88DFB" w14:textId="77777777" w:rsidR="006523EA" w:rsidRDefault="006523EA"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59B9FC4" w14:textId="77777777" w:rsidR="006523EA" w:rsidRDefault="006523EA"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E4CE3EA" w14:textId="77777777" w:rsidR="006523EA" w:rsidRDefault="006523EA"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14:paraId="6D1E1F75" w14:textId="24394815" w:rsidR="006E1472" w:rsidRPr="006E1472" w:rsidRDefault="006E1472" w:rsidP="006E1472">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6E1472">
        <w:rPr>
          <w:color w:val="auto"/>
          <w:rFonts w:ascii="Times New Roman" w:eastAsia="Times New Roman" w:hAnsi="Times New Roman" w:cs="Times New Roman"/>
          <w:b/>
          <w:bCs/>
          <w:sz w:val="26"/>
          <w:szCs w:val="26"/>
        </w:rPr>
        <w:t>Nguyên tắc xác định khối lượng giai đoạn Thiết kế bản vẽ thi công (TKBVTC)</w:t>
      </w:r>
    </w:p>
    <w:p w14:paraId="37A9B8E6" w14:textId="2D541696"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Khối lượng khảo sát giai đoạn TKBVTC được lập đảm bảo cung cấp đầy đủ, chính xác số liệu kỹ thuật chi tiết phục vụ lập bản vẽ thi công móng, cột, trạm và tính toán chính xác khối lượng bồi thường giải phóng mặt bằng, không trùng lặp với khối lượng đã thực hiện ở các giai đoạn trước. Cụ thể:</w:t>
      </w:r>
    </w:p>
    <w:p w14:paraId="052730E4"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 VỀ KHẢO SÁT ĐỊA HÌNH</w:t>
      </w:r>
    </w:p>
    <w:p w14:paraId="4B8B4C6E"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Đối với tuyến đường dây (ĐZ):</w:t>
      </w:r>
    </w:p>
    <w:p w14:paraId="39FFFB3E"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trắc dọc, trắc ngang tim tuyến: Thực hiện đo dọc theo tim tuyến đã được phê duyệt ở bước trước. Tần suất đo trắc ngang phải đảm bảo thể hiện rõ nét sự thay đổi của địa hình; tại các vùng địa hình đồi núi dốc, địa hình phức tạp, khoảng cách giữa các cọc trắc ngang phải được thu ngắn theo đúng quy phạm để tính toán chính xác khối lượng đào đắp móng cột.</w:t>
      </w:r>
    </w:p>
    <w:p w14:paraId="2C5646DA"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chân móng cột: Tại 100% các vị trí móng cột trên tuyến, tiến hành đo vẽ bình đồ chi tiết xung quanh tâm móng ở tỷ lệ 1/200. Phạm vi đo vẽ phải đủ rộng để phục vụ công tác áp móng chi tiết, thiết kế taluy kè móng, mương thoát nước và tính toán khối lượng san gạt đất móng.</w:t>
      </w:r>
    </w:p>
    <w:p w14:paraId="04E8DE0F"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giao chéo: Tại các điểm tuyến đường dây giao chéo với hạ tầng kỹ thuật (đường bộ, đường sắt, đường dây điện lực cao/hạ thế, tuyến thông tin, sông ngòi, kênh rạch, đê điều...), phải tiến hành đo vẽ bình đồ và trắc dọc giao chéo ở tỷ lệ 1/200 (hoặc theo quy định chuyên ngành), xác định chính xác cao độ các điểm giao chéo, góc giao chéo để tính toán khoảng cách an toàn tĩnh không.</w:t>
      </w:r>
    </w:p>
    <w:p w14:paraId="749B9626" w14:textId="77777777" w:rsidR="006E1472" w:rsidRPr="006E1472" w:rsidRDefault="006E1472" w:rsidP="006E1472">
      <w:pPr>
        <w:pStyle w:val="ListParagraph"/>
        <w:numPr>
          <w:ilvl w:val="0"/>
          <w:numId w:val="6"/>
        </w:numPr>
        <w:spacing w:after="0" w:line="312" w:lineRule="auto"/>
        <w:ind w:left="0" w:firstLine="0"/>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Định vị và cắm mốc thực địa: Thực hiện định vị, cắm mốc bê tông tim tuyến, mốc góc và hệ thống mốc ranh giới chiếm đất vĩnh viễn (vị trí móng cột), chiếm đất tạm thời (hành lang an toàn, đường thi công) chính xác trên thực địa</w:t>
      </w:r>
      <w:r w:rsidRPr="006E1472">
        <w:rPr>
          <w:color w:val="auto"/>
          <w:rFonts w:ascii="Times New Roman" w:hAnsi="Times New Roman" w:cs="Times New Roman"/>
          <w:sz w:val="26"/>
          <w:szCs w:val="26"/>
        </w:rPr>
        <w:t>, bàn giao rõ ràng cho chủ đầu tư để phục vụ công tác đền bù giải phóng mặt bằng và định vị thi công.</w:t>
      </w:r>
    </w:p>
    <w:p w14:paraId="0FDC328F" w14:textId="3BC6D3EA"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 xml:space="preserve">2. Đối với Trạm biến áp (TBA) và đường </w:t>
      </w:r>
      <w:r>
        <w:rPr>
          <w:color w:val="auto"/>
          <w:rFonts w:ascii="Times New Roman" w:hAnsi="Times New Roman" w:cs="Times New Roman"/>
          <w:b/>
          <w:sz w:val="26"/>
          <w:szCs w:val="26"/>
        </w:rPr>
        <w:t>vào</w:t>
      </w:r>
      <w:r w:rsidRPr="006E1472">
        <w:rPr>
          <w:color w:val="auto"/>
          <w:rFonts w:ascii="Times New Roman" w:hAnsi="Times New Roman" w:cs="Times New Roman"/>
          <w:b/>
          <w:sz w:val="26"/>
          <w:szCs w:val="26"/>
        </w:rPr>
        <w:t xml:space="preserve"> trạm:</w:t>
      </w:r>
    </w:p>
    <w:p w14:paraId="0D8C4A1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Đo vẽ bình đồ tổng thể: Thực hiện đo vẽ bình đồ chi tiết toàn bộ khu vực xây dựng trạm, hàng rào bảo vệ, hành lang an toàn và tuyến đường dây xuất tuyến xung quanh trạm ở tỷ lệ 1/500. Bình đồ phải thể hiện chi tiết, chính xác các yếu tố địa vật, cao độ tự nhiên để làm cơ sở thiết kế san nền, hệ thống thoát nước tổng thể và bố trí tối ưu các hạng mục công trình.</w:t>
      </w:r>
    </w:p>
    <w:p w14:paraId="5A02A899" w14:textId="3DACE995"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lastRenderedPageBreak/>
        <w:t>Tuyến đường vào trạm: Đo vẽ bình đồ, trắc dọc, trắc ngang chi tiết phạm vi tuyến đường phục vụ thi công và quản lý vận hành trạm, đảm bảo cao độ kết nối</w:t>
      </w:r>
      <w:r w:rsidRPr="006E1472">
        <w:rPr>
          <w:color w:val="auto"/>
          <w:rFonts w:ascii="Times New Roman" w:hAnsi="Times New Roman" w:cs="Times New Roman"/>
          <w:sz w:val="26"/>
          <w:szCs w:val="26"/>
        </w:rPr>
        <w:t xml:space="preserve"> đồng bộ với hệ thống giao thông hiện hữu tại khu vực.</w:t>
      </w:r>
    </w:p>
    <w:p w14:paraId="330ACC6D" w14:textId="77777777" w:rsidR="006E1472" w:rsidRPr="006E1472" w:rsidRDefault="006E1472" w:rsidP="006E1472">
      <w:pPr>
        <w:keepNext/>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
          <w:sz w:val="26"/>
          <w:szCs w:val="26"/>
        </w:rPr>
        <w:t>II. VỀ KHẢO SÁT ĐỊA CHẤT CÔNG TRÌNH</w:t>
      </w:r>
    </w:p>
    <w:p w14:paraId="40513914"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1. Phân bổ vị trí hố khoan thăm dò:</w:t>
      </w:r>
    </w:p>
    <w:p w14:paraId="0707990C"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Trên tuyến đường dây: Bố trí hố khoan thăm dò địa chất tại 100% các vị trí cột néo, cột góc, cột hãm và các vị trí móng cột đỡ có tải trọng lớn, móng có giải pháp kết cấu đặc biệt (móng cọc bê tông cốt thép, móng massiva lớn). Đối với các vị trí cột đỡ thông thường nằm ở vùng địa hình ổn định, địa chất đồng nhất, khoảng cách giữa các hố khoan được xem xét phân bổ hợp lý nhưng không quá 3 cọc đỡ liên tiếp để tránh bỏ sót các thấu kính đất yếu. Tại các vùng có nguy cơ sạt lở, địa hình trượt sườn hoặc vùng đất yếu, bắt buộc phải bố trí hố khoan chèn bổ sung tại các vị trí móng xung yếu.</w:t>
      </w:r>
    </w:p>
    <w:p w14:paraId="49872099"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Trong khu vực Trạm biến áp: Bố trí các hố khoan chi tiết tại đúng tọa độ vị trí móng của các hạng mục chịu tải trọng lớn và nhạy cảm với độ lún, bao gồm: Móng các máy biến áp lực, Nhà điều khiển trung tâm (nhà phân phối), và hệ thống móng cột cổng xuất tuyến có lực căng lớn.</w:t>
      </w:r>
    </w:p>
    <w:p w14:paraId="5FFA731C"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2. Quy định về chiều sâu hố khoan:</w:t>
      </w:r>
    </w:p>
    <w:p w14:paraId="261ED7BC"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Chiều sâu các hố khoan phải đảm bảo xuyên qua hết các lớp đất yếu (bùn, đất sét pha ở trạng thái chảy/dẻo chảy, cát sụt rời rạc) và phải ngàm sâu vào lớp đất ổn định có sức chịu tải tốt (đất dính ở trạng thái dẻo cứng đến cứng, đất rời ở trạng thái chặt vừa đến chặt) tối thiểu từ 3.0m đến 5.0m.</w:t>
      </w:r>
    </w:p>
    <w:p w14:paraId="0847039E" w14:textId="77777777" w:rsidR="006E1472" w:rsidRPr="006E1472" w:rsidRDefault="006E1472" w:rsidP="006E1472">
      <w:p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sz w:val="26"/>
          <w:szCs w:val="26"/>
        </w:rPr>
        <w:t>Trường hợp gặp lớp đá gốc hoặc đá chịu lực sớm ở cao độ nông, hố khoan bắt buộc phải khoan ngàm vào đá tươi, đá ổn định liên tục tối thiểu 3.0m để xác định độ vỡ vụn và tính toàn khối của đá, phục vụ thiết kế móng neo vào đá.</w:t>
      </w:r>
    </w:p>
    <w:p w14:paraId="27628058" w14:textId="77777777" w:rsidR="006E1472" w:rsidRPr="006E1472" w:rsidRDefault="006E1472" w:rsidP="006E1472">
      <w:pPr>
        <w:spacing w:after="0" w:line="312" w:lineRule="auto"/>
        <w:jc w:val="both"/>
        <w:rPr>
          <w:color w:val="auto"/>
          <w:rFonts w:ascii="Times New Roman" w:hAnsi="Times New Roman" w:cs="Times New Roman"/>
          <w:b/>
          <w:sz w:val="26"/>
          <w:szCs w:val="26"/>
        </w:rPr>
      </w:pPr>
      <w:r w:rsidRPr="006E1472">
        <w:rPr>
          <w:color w:val="auto"/>
          <w:rFonts w:ascii="Times New Roman" w:hAnsi="Times New Roman" w:cs="Times New Roman"/>
          <w:b/>
          <w:sz w:val="26"/>
          <w:szCs w:val="26"/>
        </w:rPr>
        <w:t>3. Chỉ tiêu thí nghiệm hiện trường, lấy mẫu và thí nghiệm trong phòng:</w:t>
      </w:r>
    </w:p>
    <w:p w14:paraId="08E26F70"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bCs/>
          <w:sz w:val="26"/>
          <w:szCs w:val="26"/>
        </w:rPr>
      </w:pPr>
      <w:r w:rsidRPr="006E1472">
        <w:rPr>
          <w:color w:val="auto"/>
          <w:rFonts w:ascii="Times New Roman" w:hAnsi="Times New Roman" w:cs="Times New Roman"/>
          <w:bCs/>
          <w:sz w:val="26"/>
          <w:szCs w:val="26"/>
        </w:rPr>
        <w:t>Thí nghiệm xuyên tiêu chuẩn (SPT): Thực hiện thí nghiệm SPT trực tiếp trong hố khoan với tần suất từ 1.5m đến 2.0m một lần (hoặc ngay khi có sự thay đổi lớp đất) để xác định sơ bộ độ chặt, trạng thái của các lớp đất nền tại thực địa.</w:t>
      </w:r>
    </w:p>
    <w:p w14:paraId="71D9C964" w14:textId="77777777" w:rsidR="006E1472" w:rsidRPr="006E1472" w:rsidRDefault="006E1472" w:rsidP="006E1472">
      <w:pPr>
        <w:pStyle w:val="ListParagraph"/>
        <w:numPr>
          <w:ilvl w:val="0"/>
          <w:numId w:val="8"/>
        </w:numPr>
        <w:spacing w:after="0" w:line="312" w:lineRule="auto"/>
        <w:jc w:val="both"/>
        <w:rPr>
          <w:color w:val="auto"/>
          <w:rFonts w:ascii="Times New Roman" w:hAnsi="Times New Roman" w:cs="Times New Roman"/>
          <w:sz w:val="26"/>
          <w:szCs w:val="26"/>
        </w:rPr>
      </w:pPr>
      <w:r w:rsidRPr="006E1472">
        <w:rPr>
          <w:color w:val="auto"/>
          <w:rFonts w:ascii="Times New Roman" w:hAnsi="Times New Roman" w:cs="Times New Roman"/>
          <w:bCs/>
          <w:sz w:val="26"/>
          <w:szCs w:val="26"/>
        </w:rPr>
        <w:t>Lấy mẫu đất đá: Tiến hành lấy mẫu đất nguyên dạng (đối với đất dính) và mẫu không nguyên dạng (đối với đất rời) tại các khoảng độ sâu thí nghiệm để thực hiện đầy đủ 9 chỉ tiêu cơ lý tiêu chuẩn trong phòng thí nghiệm (bao gồm cả thí nghiệm nén lún, thí nghiệm cắt trực tiếp để xác định lực dính c và góc ma</w:t>
      </w:r>
      <w:r w:rsidRPr="006E1472">
        <w:rPr>
          <w:color w:val="auto"/>
          <w:rFonts w:ascii="Times New Roman" w:hAnsi="Times New Roman" w:cs="Times New Roman"/>
          <w:sz w:val="26"/>
          <w:szCs w:val="26"/>
        </w:rPr>
        <w:t xml:space="preserve"> sát trong phi). Trường hợp gặp đá, phải lấy mẫu cục đá để thí nghiệm cường độ nén đơn trục của đá ở trạng thái tự nhiên và bão hòa nước.</w:t>
      </w:r>
    </w:p>
    <w:p w14:paraId="6522F819" w14:textId="4B0FF9E3" w:rsidR="008D5874" w:rsidRPr="006E1472" w:rsidRDefault="006E1472" w:rsidP="006E1472">
      <w:pPr>
        <w:numPr>
          <w:ilvl w:val="0"/>
          <w:numId w:val="2"/>
        </w:numPr>
        <w:spacing w:after="0" w:line="312" w:lineRule="auto"/>
        <w:ind w:left="0"/>
        <w:jc w:val="both"/>
        <w:rPr>
          <w:color w:val="auto"/>
          <w:rFonts w:ascii="Times New Roman" w:eastAsia="Times New Roman" w:hAnsi="Times New Roman" w:cs="Times New Roman"/>
          <w:sz w:val="26"/>
          <w:szCs w:val="26"/>
        </w:rPr>
      </w:pPr>
      <w:r w:rsidRPr="00614B40">
        <w:rPr>
          <w:color w:val="auto"/>
          <w:rFonts w:ascii="Times New Roman" w:hAnsi="Times New Roman" w:cs="Times New Roman"/>
          <w:bCs/>
          <w:sz w:val="26"/>
          <w:szCs w:val="26"/>
        </w:rPr>
        <w:lastRenderedPageBreak/>
        <w:t>Thí nghiệm mẫu nước (Tính ăn mòn): Tại</w:t>
      </w:r>
      <w:r w:rsidRPr="006E1472">
        <w:rPr>
          <w:color w:val="auto"/>
          <w:rFonts w:ascii="Times New Roman" w:hAnsi="Times New Roman" w:cs="Times New Roman"/>
          <w:sz w:val="26"/>
          <w:szCs w:val="26"/>
        </w:rPr>
        <w:t xml:space="preserve"> các vị trí hố khoan xuất hiện mực nước ngầm, bắt buộc phải tiến hành lấy mẫu nước ngầm theo quy chuẩn để thí nghiệm phân tích hóa nước, xác định hàm lượng các ion xâm thực và đánh giá tính ăn mòn của nước đối với bê tông và cốt thép móng. Số liệu này là bắt buộc để làm cơ sở lựa chọn chủng loại xi măng (như xi măng bền sunfat) và biện pháp bảo vệ bề mặt móng công trình ngầm dưới đất</w:t>
      </w:r>
      <w:r w:rsidR="006C4E80" w:rsidRPr="006E1472">
        <w:rPr>
          <w:color w:val="auto"/>
          <w:rFonts w:ascii="Times New Roman" w:eastAsia="Times New Roman" w:hAnsi="Times New Roman" w:cs="Times New Roman"/>
          <w:sz w:val="26"/>
          <w:szCs w:val="26"/>
        </w:rPr>
        <w:t>.</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6523EA" w14:paraId="0DA51EC4" w14:textId="77777777" w:rsidTr="00152AB0">
        <w:trPr>
          <w:tblHeader/>
        </w:trPr>
        <w:tc>
          <w:tcPr>
            <w:tcW w:w="817" w:type="dxa"/>
            <w:vAlign w:val="center"/>
          </w:tcPr>
          <w:p w14:paraId="00918F17" w14:textId="77777777" w:rsidR="006523EA" w:rsidRDefault="006523EA"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6B2B0559" w14:textId="77777777" w:rsidR="006523EA" w:rsidRDefault="006523EA"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6C7916AD" w14:textId="77777777" w:rsidR="006523EA" w:rsidRDefault="006523EA"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C67CD13" w14:textId="77777777" w:rsidR="006523EA" w:rsidRDefault="006523EA"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35335733" w14:textId="77777777" w:rsidR="006523EA" w:rsidRDefault="006523EA" w:rsidP="00152AB0">
            <w:pPr>
              <w:jc w:val="center"/>
            </w:pPr>
            <w:r>
              <w:rPr>
                <w:color w:val="auto"/>
                <w:rFonts w:ascii="Times New Roman" w:eastAsia="Times New Roman" w:hAnsi="Times New Roman" w:cs="Times New Roman"/>
                <w:b/>
                <w:bCs/>
                <w:sz w:val="26"/>
                <w:szCs w:val="26"/>
              </w:rPr>
              <w:t>Khối lượng</w:t>
            </w:r>
          </w:p>
        </w:tc>
      </w:tr>
      <w:tr w:rsidR="006523EA" w14:paraId="593AED8C" w14:textId="77777777" w:rsidTr="00152AB0">
        <w:tc>
          <w:tcPr>
            <w:tcW w:w="817" w:type="dxa"/>
            <w:vAlign w:val="center"/>
          </w:tcPr>
          <w:p w14:paraId="1299F383"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71FA5CF"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5428B90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94F6902"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67C4A4B"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1299F383"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371FA5CF"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5428B90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94F6902"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6523EA" w14:paraId="35F1188C" w14:textId="77777777" w:rsidTr="00152AB0">
        <w:trPr>
          <w:jc w:val="center"/>
        </w:trPr>
        <w:tc>
          <w:tcPr>
            <w:tcW w:w="758" w:type="dxa"/>
            <w:shd w:val="clear" w:color="auto" w:fill="FFFFFF"/>
            <w:vAlign w:val="center"/>
          </w:tcPr>
          <w:p w14:paraId="394EEEA8"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242666EB"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70470E93"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710708F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6523EA" w14:paraId="7282622C" w14:textId="77777777" w:rsidTr="00152AB0">
        <w:trPr>
          <w:jc w:val="center"/>
        </w:trPr>
        <w:tc>
          <w:tcPr>
            <w:tcW w:w="758" w:type="dxa"/>
            <w:vAlign w:val="center"/>
          </w:tcPr>
          <w:p w14:paraId="7D477AB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3A3B9FBD" w14:textId="77777777" w:rsidR="006523EA" w:rsidRDefault="006523EA"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C6BE6CF" w14:textId="77777777" w:rsidR="006523EA" w:rsidRDefault="006523EA" w:rsidP="00152AB0">
            <w:pPr>
              <w:spacing w:before="60" w:after="60"/>
              <w:jc w:val="both"/>
              <w:rPr>
                <w:color w:val="auto"/>
                <w:rFonts w:ascii="Times New Roman" w:eastAsia="Times New Roman" w:hAnsi="Times New Roman" w:cs="Times New Roman"/>
                <w:sz w:val="26"/>
                <w:szCs w:val="26"/>
              </w:rPr>
            </w:pPr>
          </w:p>
        </w:tc>
      </w:tr>
      <w:tr w:rsidR="006523EA" w14:paraId="5A1AC73F" w14:textId="77777777" w:rsidTr="00152AB0">
        <w:trPr>
          <w:jc w:val="center"/>
        </w:trPr>
        <w:tc>
          <w:tcPr>
            <w:tcW w:w="758" w:type="dxa"/>
            <w:vAlign w:val="center"/>
          </w:tcPr>
          <w:p w14:paraId="0EFD1D0F"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1F5091A8"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70F09F43"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6523EA" w14:paraId="4E4EAF63" w14:textId="77777777" w:rsidTr="00152AB0">
        <w:trPr>
          <w:jc w:val="center"/>
        </w:trPr>
        <w:tc>
          <w:tcPr>
            <w:tcW w:w="758" w:type="dxa"/>
            <w:vAlign w:val="center"/>
          </w:tcPr>
          <w:p w14:paraId="505AAA1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413CAF11"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5014F02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6523EA" w14:paraId="4D3A96BF" w14:textId="77777777" w:rsidTr="00152AB0">
        <w:trPr>
          <w:jc w:val="center"/>
        </w:trPr>
        <w:tc>
          <w:tcPr>
            <w:tcW w:w="758" w:type="dxa"/>
            <w:vAlign w:val="center"/>
          </w:tcPr>
          <w:p w14:paraId="3BAB35E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324040C1"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6600F16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6523EA" w14:paraId="0F120B9C" w14:textId="77777777" w:rsidTr="00152AB0">
        <w:trPr>
          <w:jc w:val="center"/>
        </w:trPr>
        <w:tc>
          <w:tcPr>
            <w:tcW w:w="758" w:type="dxa"/>
            <w:vAlign w:val="center"/>
          </w:tcPr>
          <w:p w14:paraId="5BB60769"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14721CE"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0E8D3C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1C2B" w14:textId="77777777" w:rsidR="000F37E8" w:rsidRDefault="000F37E8">
      <w:pPr>
        <w:spacing w:after="0" w:line="240" w:lineRule="auto"/>
      </w:pPr>
      <w:r>
        <w:separator/>
      </w:r>
    </w:p>
  </w:endnote>
  <w:endnote w:type="continuationSeparator" w:id="0">
    <w:p w14:paraId="071CAD00" w14:textId="77777777" w:rsidR="000F37E8" w:rsidRDefault="000F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6CDD94E-B4C5-48B7-A1E1-24E64BEE7D76}"/>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A75A9A45-E270-41F3-9569-A5673267D0EB}"/>
    <w:embedBold r:id="rId3" w:fontKey="{91212A95-2361-4F35-A747-35DD15014F9D}"/>
  </w:font>
  <w:font w:name="Calibri">
    <w:panose1 w:val="020F0502020204030204"/>
    <w:charset w:val="00"/>
    <w:family w:val="swiss"/>
    <w:pitch w:val="variable"/>
    <w:sig w:usb0="E4002EFF" w:usb1="C200247B" w:usb2="00000009" w:usb3="00000000" w:csb0="000001FF" w:csb1="00000000"/>
    <w:embedRegular r:id="rId4" w:fontKey="{5CF551DA-BCCD-4198-BFDE-47C3848D408F}"/>
    <w:embedBold r:id="rId5" w:fontKey="{FA8B474F-3365-4F1B-A779-6857CFC532AA}"/>
    <w:embedItalic r:id="rId6" w:fontKey="{55DD615D-7151-4318-80C8-C0A102FF1335}"/>
    <w:embedBoldItalic r:id="rId7" w:fontKey="{79ED422C-3D0A-47C3-813D-6F33D019A3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9A75" w14:textId="3CCC474E" w:rsidR="00AD157D" w:rsidRDefault="00AD157D" w:rsidP="00AD157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ADF6" w14:textId="77777777" w:rsidR="000F37E8" w:rsidRDefault="000F37E8">
      <w:pPr>
        <w:spacing w:after="0" w:line="240" w:lineRule="auto"/>
      </w:pPr>
      <w:r>
        <w:separator/>
      </w:r>
    </w:p>
  </w:footnote>
  <w:footnote w:type="continuationSeparator" w:id="0">
    <w:p w14:paraId="43F0EBB0" w14:textId="77777777" w:rsidR="000F37E8" w:rsidRDefault="000F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D157D" w14:paraId="0BD9F853" w14:textId="77777777" w:rsidTr="00AD157D">
      <w:tc>
        <w:tcPr>
          <w:tcW w:w="9395" w:type="dxa"/>
        </w:tcPr>
        <w:p w14:paraId="38C6BD0B" w14:textId="77777777" w:rsidR="00AD157D" w:rsidRPr="006523EA" w:rsidRDefault="00AD157D" w:rsidP="00AD157D">
          <w:pPr>
            <w:pStyle w:val="Header"/>
            <w:pBdr>
              <w:bottom w:val="thickThinSmallGap" w:sz="18" w:space="1" w:color="auto"/>
            </w:pBdr>
            <w:rPr>
              <w:color w:val="auto"/>
              <w:b/>
              <w:bCs/>
              <w:sz w:val="26"/>
              <w:szCs w:val="26"/>
            </w:rPr>
          </w:pPr>
          <w:r w:rsidRPr="006523EA">
            <w:rPr>
              <w:color w:val="auto"/>
              <w:b/>
              <w:bCs/>
              <w:sz w:val="26"/>
              <w:szCs w:val="26"/>
            </w:rPr>
            <w:t>Công trình: {ten_du_an}</w:t>
          </w:r>
        </w:p>
        <w:p w14:paraId="466E2DA5" w14:textId="6899177F" w:rsidR="00AD157D" w:rsidRPr="00AD157D" w:rsidRDefault="00AD157D" w:rsidP="00AD157D">
          <w:pPr>
            <w:pStyle w:val="Header"/>
            <w:pBdr>
              <w:bottom w:val="thickThinSmallGap" w:sz="18" w:space="1" w:color="auto"/>
            </w:pBdr>
            <w:rPr>
              <w:color w:val="auto"/>
              <w:b/>
              <w:bCs/>
              <w:sz w:val="26"/>
              <w:szCs w:val="26"/>
            </w:rPr>
          </w:pPr>
          <w:r w:rsidRPr="006523EA">
            <w:rPr>
              <w:color w:val="auto"/>
              <w:b/>
              <w:bCs/>
              <w:sz w:val="26"/>
              <w:szCs w:val="26"/>
            </w:rPr>
            <w:t>Nhiệm vụ khảo sát xây dựng giai đoạn {giai_doan}</w:t>
          </w:r>
        </w:p>
      </w:tc>
    </w:tr>
  </w:tbl>
  <w:p w14:paraId="01DC0174" w14:textId="02EB1F91" w:rsidR="007E7FF1" w:rsidRPr="00AD157D" w:rsidRDefault="007E7FF1" w:rsidP="00AD157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5241F"/>
    <w:rsid w:val="00075600"/>
    <w:rsid w:val="000D1031"/>
    <w:rsid w:val="000F3563"/>
    <w:rsid w:val="000F37E8"/>
    <w:rsid w:val="00195C84"/>
    <w:rsid w:val="001D4B16"/>
    <w:rsid w:val="002F4C09"/>
    <w:rsid w:val="003A61F3"/>
    <w:rsid w:val="00401E41"/>
    <w:rsid w:val="00492860"/>
    <w:rsid w:val="00537EC5"/>
    <w:rsid w:val="005F7822"/>
    <w:rsid w:val="006009D0"/>
    <w:rsid w:val="006024C6"/>
    <w:rsid w:val="00614B40"/>
    <w:rsid w:val="00651622"/>
    <w:rsid w:val="006523EA"/>
    <w:rsid w:val="006C4E80"/>
    <w:rsid w:val="006E1472"/>
    <w:rsid w:val="006F75BB"/>
    <w:rsid w:val="00750077"/>
    <w:rsid w:val="00751777"/>
    <w:rsid w:val="0079289C"/>
    <w:rsid w:val="007E5DBE"/>
    <w:rsid w:val="007E7FF1"/>
    <w:rsid w:val="0082087C"/>
    <w:rsid w:val="008B4C8A"/>
    <w:rsid w:val="008C339F"/>
    <w:rsid w:val="008D5874"/>
    <w:rsid w:val="00913A82"/>
    <w:rsid w:val="00AA6E39"/>
    <w:rsid w:val="00AD157D"/>
    <w:rsid w:val="00B943F1"/>
    <w:rsid w:val="00C65BED"/>
    <w:rsid w:val="00C758EA"/>
    <w:rsid w:val="00CC4C56"/>
    <w:rsid w:val="00DF4F52"/>
    <w:rsid w:val="00EB565D"/>
    <w:rsid w:val="00EC1D3F"/>
    <w:rsid w:val="00EC6A52"/>
    <w:rsid w:val="00F319D4"/>
    <w:rsid w:val="00F423B1"/>
    <w:rsid w:val="00F52043"/>
    <w:rsid w:val="00FE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6523E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24</cp:revision>
  <dcterms:created xsi:type="dcterms:W3CDTF">2026-06-03T10:12:00Z</dcterms:created>
  <dcterms:modified xsi:type="dcterms:W3CDTF">2026-06-29T02:55:00Z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