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EC2D51" w14:paraId="251767A4" w14:textId="77777777" w:rsidTr="008A3413">
        <w:trPr>
          <w:trHeight w:val="1843"/>
        </w:trPr>
        <w:tc>
          <w:tcPr>
            <w:tcW w:w="1843" w:type="dxa"/>
          </w:tcPr>
          <w:p w14:paraId="4FD46D46" w14:textId="77777777" w:rsidR="00EC2D51" w:rsidRDefault="00EC2D51" w:rsidP="008A3413">
            <w:pPr>
              <w:jc w:val="center"/>
            </w:pPr>
            <w:r w:rsidRPr="00B544B4">
              <w:rPr>
                <w:color w:val="auto"/>
                <w:noProof/>
              </w:rPr>
              <w:drawing>
                <wp:inline distT="0" distB="0" distL="0" distR="0" wp14:anchorId="3FB9B2D1" wp14:editId="520DE43A">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237101A7" w14:textId="77777777" w:rsidR="00EC2D51" w:rsidRPr="004A214E" w:rsidRDefault="00EC2D51" w:rsidP="008A3413">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41593ABC" w14:textId="77777777" w:rsidR="00EC2D51" w:rsidRPr="004A214E" w:rsidRDefault="00EC2D51" w:rsidP="008A3413">
            <w:pPr>
              <w:spacing w:before="60" w:after="60" w:line="276" w:lineRule="auto"/>
              <w:jc w:val="center"/>
              <w:rPr>
                <w:color w:val="auto"/>
                <w:b/>
                <w:sz w:val="28"/>
                <w:szCs w:val="28"/>
              </w:rPr>
            </w:pPr>
            <w:r w:rsidRPr="004A214E">
              <w:rPr>
                <w:color w:val="auto"/>
                <w:b/>
                <w:sz w:val="28"/>
                <w:szCs w:val="28"/>
              </w:rPr>
              <w:t>XÍ NGHIỆP TƯ VẤN</w:t>
            </w:r>
          </w:p>
          <w:p w14:paraId="172F1AB0" w14:textId="77777777" w:rsidR="00EC2D51" w:rsidRPr="00826E92" w:rsidRDefault="00EC2D51" w:rsidP="008A3413">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51F83FE" w14:textId="77777777" w:rsidR="00EC2D51" w:rsidRPr="0092347C" w:rsidRDefault="00EC2D51" w:rsidP="008A3413">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0DEFB32E" w14:textId="77777777" w:rsidR="00EC2D51" w:rsidRPr="006249E5" w:rsidRDefault="00EC2D51" w:rsidP="00EC2D51">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2CC63389" w14:textId="77777777" w:rsidR="008D5874" w:rsidRDefault="0000000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F23E60E" w14:textId="323189A2" w:rsidR="008D5874" w:rsidRPr="00FB7A22" w:rsidRDefault="00FB7A22">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F3D8C50" w14:textId="79964252" w:rsidR="008D5874" w:rsidRPr="00FB7A22" w:rsidRDefault="00000000">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sidR="00FB7A22">
        <w:rPr>
          <w:color w:val="auto"/>
          <w:rFonts w:ascii="Times New Roman" w:eastAsia="Times New Roman" w:hAnsi="Times New Roman" w:cs="Times New Roman"/>
          <w:b/>
          <w:bCs/>
          <w:sz w:val="36"/>
          <w:szCs w:val="36"/>
        </w:rPr>
        <w:t>{giai_doan_in_hoa}</w:t>
      </w:r>
    </w:p>
    <w:p w14:paraId="073CC231" w14:textId="77777777" w:rsidR="008D5874" w:rsidRPr="00FB7A22" w:rsidRDefault="00000000">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0F27F35" w14:textId="77777777" w:rsidR="008D5874" w:rsidRPr="00FB7A22" w:rsidRDefault="00000000">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2A32798E" w14:textId="77777777" w:rsidR="00EC2D51" w:rsidRPr="007B4FD0" w:rsidRDefault="00EC2D51" w:rsidP="008A3413">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6D6E0856" w14:textId="77777777" w:rsidR="00EC2D51" w:rsidRDefault="00EC2D51" w:rsidP="00EC2D51">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23F63706" w14:textId="7972EC0F" w:rsidR="00FB7A22" w:rsidRPr="00EC2D51" w:rsidRDefault="00FB7A22" w:rsidP="00EC2D51">
      <w:pPr>
        <w:pageBreakBefore/>
        <w:jc w:val="center"/>
        <w:rPr>
          <w:color w:val="auto"/>
          <w:rFonts w:ascii="Times New Roman" w:eastAsia="Times New Roman" w:hAnsi="Times New Roman" w:cs="Times New Roman"/>
          <w:b/>
          <w:bCs/>
          <w:sz w:val="26"/>
          <w:szCs w:val="26"/>
        </w:rP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EC2D51">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306979A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Căn cứ vào đặc điểm quy mô công trình và Nhiệm vụ khảo sát xây dựng giai đoạn Báo cáo Kinh tế - Kỹ thuật (BCKTKT) đã được phê duyệt, thành phần công tác khảo sát bao gồm các hạng mục chính sau:</w:t>
      </w:r>
    </w:p>
    <w:p w14:paraId="596BAA64"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Khảo sát địa hình:</w:t>
      </w:r>
    </w:p>
    <w:p w14:paraId="1274B22C"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Phần đường dây: Khảo sát lựa chọn hướng tuyến tối ưu; lập lưới khống chế; đo vẽ bình đồ hành lang tuyến tỷ lệ 1/500 hoặc 1/1000; đo vẽ bình đồ chi tiết chân móng tỷ lệ 1/200; đo mặt cắt dọc, mặt cắt ngang chi tiết; đo vẽ giao chéo; định vị và cắm mốc thực địa.</w:t>
      </w:r>
    </w:p>
    <w:p w14:paraId="21E3EE6B"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Phần TBA: Thiết lập lưới khống chế; đo vẽ bình đồ chi tiết khu vực trạm tỷ lệ 1/500; định vị và cắm mốc các hạng mục công trình.</w:t>
      </w:r>
    </w:p>
    <w:p w14:paraId="403E4DB2"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Khảo sát địa chất công trình:</w:t>
      </w:r>
    </w:p>
    <w:p w14:paraId="313782CD"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Phần đường dây: Khoan máy thăm dò tại các vị trí móng cột (100% vị trí néo, góc, hãm và tỷ lệ thích hợp cho cột đỡ); thí nghiệm SPT hiện trường; lấy mẫu đất/nước; đo điện trở suất đất nền.</w:t>
      </w:r>
    </w:p>
    <w:p w14:paraId="39A1C3D8"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Phần TBA: Khoan máy thăm dò tại tâm các hạng mục chịu lực chính; thí nghiệm SPT hiện trường; lấy mẫu cơ lý và mẫu nước; đo điện trở suất.</w:t>
      </w:r>
    </w:p>
    <w:p w14:paraId="0DE3195A"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Khảo sát khí tượng thủy văn:</w:t>
      </w:r>
    </w:p>
    <w:p w14:paraId="5C504A0A"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Thu thập số liệu, tài liệu quan trắc khí tượng thủy văn khu vực dự án.</w:t>
      </w:r>
    </w:p>
    <w:p w14:paraId="7042093E" w14:textId="517C96DC"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Điều tra thực địa mực nước ngập úng, hiện trạng thoát nước.</w:t>
      </w:r>
    </w:p>
    <w:p w14:paraId="6EE8F69A" w14:textId="77777777" w:rsidR="00B32A45" w:rsidRPr="00B32A45" w:rsidRDefault="004E3E42" w:rsidP="00B32A45">
      <w:pPr>
        <w:numPr>
          <w:ilvl w:val="0"/>
          <w:numId w:val="9"/>
        </w:numPr>
        <w:spacing w:after="0" w:line="312" w:lineRule="auto"/>
        <w:ind w:left="0" w:firstLine="0"/>
        <w:jc w:val="both"/>
        <w:rPr>
          <w:color w:val="auto"/>
          <w:rFonts w:ascii="Times New Roman" w:hAnsi="Times New Roman"/>
          <w:b/>
          <w:bCs/>
          <w:sz w:val="26"/>
          <w:szCs w:val="26"/>
          <w:lang w:val="en-US"/>
        </w:rPr>
      </w:pPr>
      <w:r w:rsidRPr="00B32A45">
        <w:rPr>
          <w:color w:val="auto"/>
          <w:rFonts w:ascii="Times New Roman" w:hAnsi="Times New Roman"/>
          <w:b/>
          <w:bCs/>
          <w:sz w:val="26"/>
          <w:szCs w:val="26"/>
          <w:lang w:val="en-US"/>
        </w:rPr>
        <w:t xml:space="preserve">Các công tác khác: </w:t>
      </w:r>
    </w:p>
    <w:p w14:paraId="1E4BD031" w14:textId="237F10B3" w:rsidR="004E3E42" w:rsidRPr="004E3E42" w:rsidRDefault="00B32A45" w:rsidP="00B32A45">
      <w:pPr>
        <w:spacing w:after="0" w:line="312" w:lineRule="auto"/>
        <w:ind w:left="360"/>
        <w:jc w:val="both"/>
        <w:rPr>
          <w:color w:val="auto"/>
          <w:rFonts w:ascii="Times New Roman" w:hAnsi="Times New Roman"/>
          <w:sz w:val="26"/>
          <w:szCs w:val="26"/>
          <w:lang w:val="en-US"/>
        </w:rPr>
      </w:pPr>
      <w:r w:rsidRPr="00B32A45">
        <w:rPr>
          <w:color w:val="auto"/>
          <w:rFonts w:ascii="Times New Roman" w:hAnsi="Times New Roman" w:cs="Times New Roman"/>
          <w:sz w:val="26"/>
          <w:szCs w:val="26"/>
        </w:rPr>
        <w:t xml:space="preserve">+ </w:t>
      </w:r>
      <w:r w:rsidR="004E3E42" w:rsidRPr="004E3E42">
        <w:rPr>
          <w:color w:val="auto"/>
          <w:rFonts w:ascii="Times New Roman" w:hAnsi="Times New Roman"/>
          <w:sz w:val="26"/>
          <w:szCs w:val="26"/>
          <w:lang w:val="en-US"/>
        </w:rPr>
        <w:t>Khảo sát hiện trạng, điều tra thỏa thuận phục vụ lập thiết kế và bồi thường giải phóng mặt bằng.</w:t>
      </w:r>
    </w:p>
    <w:p w14:paraId="7074CB14" w14:textId="369FD3D9" w:rsidR="004E3E42" w:rsidRPr="004E3E42" w:rsidRDefault="004E3E42" w:rsidP="00FB7A2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FB7A22">
      <w:pPr>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F17DE1" w14:paraId="795A55E7" w14:textId="77777777" w:rsidTr="00012D29">
        <w:trPr>
          <w:tblHeader/>
        </w:trPr>
        <w:tc>
          <w:tcPr>
            <w:tcW w:w="817" w:type="dxa"/>
            <w:vAlign w:val="center"/>
          </w:tcPr>
          <w:p w14:paraId="7E1F8F83" w14:textId="77777777" w:rsidR="00480B41" w:rsidRDefault="00000000" w:rsidP="00012D29">
            <w:pPr>
              <w:jc w:val="center"/>
            </w:pPr>
            <w:r>
              <w:rPr>
                <w:color w:val="auto"/>
                <w:rFonts w:ascii="Times New Roman" w:eastAsia="Times New Roman" w:hAnsi="Times New Roman" w:cs="Times New Roman"/>
                <w:b/>
                <w:bCs/>
                <w:sz w:val="26"/>
                <w:szCs w:val="26"/>
              </w:rPr>
              <w:t>STT</w:t>
            </w:r>
          </w:p>
        </w:tc>
        <w:tc>
          <w:tcPr>
            <w:tcW w:w="4630" w:type="dxa"/>
            <w:vAlign w:val="center"/>
          </w:tcPr>
          <w:p w14:paraId="1BD182BD" w14:textId="77777777" w:rsidR="00480B41" w:rsidRDefault="00000000" w:rsidP="00012D29">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4F9140BC" w14:textId="77777777" w:rsidR="00480B41" w:rsidRDefault="00000000" w:rsidP="00012D29">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126D4F5B" w14:textId="77777777" w:rsidR="00480B41" w:rsidRDefault="00000000" w:rsidP="00012D29">
            <w:pPr>
              <w:jc w:val="center"/>
            </w:pPr>
            <w:r>
              <w:rPr>
                <w:color w:val="auto"/>
                <w:rFonts w:ascii="Times New Roman" w:eastAsia="Times New Roman" w:hAnsi="Times New Roman" w:cs="Times New Roman"/>
                <w:b/>
                <w:bCs/>
                <w:sz w:val="26"/>
                <w:szCs w:val="26"/>
              </w:rPr>
              <w:t>Đơn vị</w:t>
            </w:r>
          </w:p>
        </w:tc>
        <w:tc>
          <w:tcPr>
            <w:tcW w:w="1539" w:type="dxa"/>
            <w:vAlign w:val="center"/>
          </w:tcPr>
          <w:p w14:paraId="068A0E7C" w14:textId="77777777" w:rsidR="00480B41" w:rsidRDefault="00000000" w:rsidP="00012D29">
            <w:pPr>
              <w:jc w:val="center"/>
            </w:pPr>
            <w:r>
              <w:rPr>
                <w:color w:val="auto"/>
                <w:rFonts w:ascii="Times New Roman" w:eastAsia="Times New Roman" w:hAnsi="Times New Roman" w:cs="Times New Roman"/>
                <w:b/>
                <w:bCs/>
                <w:sz w:val="26"/>
                <w:szCs w:val="26"/>
              </w:rPr>
              <w:t>Khối lượng</w:t>
            </w:r>
          </w:p>
        </w:tc>
      </w:tr>
      <w:tr w:rsidR="00F17DE1" w14:paraId="6EEC7CB7" w14:textId="77777777" w:rsidTr="00012D29">
        <w:tc>
          <w:tcPr>
            <w:tcW w:w="817" w:type="dxa"/>
            <w:vAlign w:val="center"/>
          </w:tcPr>
          <w:p w14:paraId="199E7B3A" w14:textId="77777777" w:rsidR="00480B41" w:rsidRPr="00ED25D4" w:rsidRDefault="00000000" w:rsidP="00654736">
            <w:pPr>
              <w:spacing w:line="312" w:lineRule="auto"/>
              <w:jc w:val="center"/>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{#is_hea</w:t>
            </w:r>
            <w:r w:rsidRPr="00ED25D4">
              <w:rPr>
                <w:color w:val="auto"/>
                <w:rFonts w:ascii="Times New Roman" w:eastAsia="Times New Roman" w:hAnsi="Times New Roman" w:cs="Times New Roman"/>
                <w:b/>
                <w:bCs/>
                <w:sz w:val="24"/>
                <w:szCs w:val="24"/>
              </w:rPr>
              <w:lastRenderedPageBreak/>
              <w:t xml:space="preserve">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6FEA20BB" w14:textId="77777777" w:rsidR="00480B41" w:rsidRPr="00ED25D4" w:rsidRDefault="00000000" w:rsidP="00654736">
            <w:pPr>
              <w:spacing w:line="288" w:lineRule="auto"/>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03F69CC6" w14:textId="77777777" w:rsidR="00480B41"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26E90EB4" w14:textId="77777777" w:rsidR="00480B41"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55E5E0C3" w14:textId="77777777" w:rsidR="00480B41" w:rsidRDefault="00000000" w:rsidP="00012D29">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05B61DC4" w14:textId="794BB2AB" w:rsidR="00FB7A22" w:rsidRPr="00FB7A22" w:rsidRDefault="00FB7A22" w:rsidP="00FB7A22">
      <w:pPr>
        <w:jc w:val="both"/>
        <w:rPr>
          <w:color w:val="auto"/>
          <w:sz w:val="26"/>
          <w:szCs w:val="26"/>
        </w:rPr>
      </w:pPr>
    </w:p>
    <w:p w14:paraId="36A0A2F0" w14:textId="4BE781E1" w:rsidR="00FB7A22" w:rsidRDefault="00FB7A22" w:rsidP="00EC2D51">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0792D92B" w14:textId="77777777" w:rsid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3.1. Phương pháp khảo sát địa hình</w:t>
      </w:r>
    </w:p>
    <w:p w14:paraId="30B7C2D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Phần đường dây tải điện trên không (ĐDK)</w:t>
      </w:r>
    </w:p>
    <w:p w14:paraId="14B979DC"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Thành lập lưới khống chế toạ độ và độ cao: Sử dụng máy thu GNSS (đo tĩnh) hoặc máy toàn đạc điện tử dẫn truyền cao tọa độ từ các điểm hạng cao Nhà nước. Xây dựng hệ lưới khống chế dọc tuyến trong hệ toạ độ Quốc gia VN-2000, hệ độ cao Hòn Dấu.</w:t>
      </w:r>
    </w:p>
    <w:p w14:paraId="2A84ADA9"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Đo vẽ bình đồ hành lang tuyến: Sử dụng máy thu GNSS động thời gian thực (RTK) kết hợp đo tọa độ cực. Đo vẽ bình đồ hành lang tuyến tỷ lệ 1/500 hoặc 1/1000 phục vụ thiết kế bản vẽ thi công.</w:t>
      </w:r>
    </w:p>
    <w:p w14:paraId="3F0703D6"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Đo vẽ bình đồ chân móng cột: Bắt buộc tiến hành đo vẽ bình đồ chi tiết chân móng tại 100% các vị trí móng cột ở tỷ lệ 1/200, khoảng cao đều 0.5m nhằm tính toán khối lượng đào đắp, san gạt móng cột.</w:t>
      </w:r>
    </w:p>
    <w:p w14:paraId="0B2B019C"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Đo mặt cắt dọc, trắc ngang: Đo dọc và trắc ngang chính xác tại tim tuyến chính thức. Tỷ lệ ngang 1/5000 (hoặc 1/2000), đứng 1/500. Mặt cắt ngang đo vuông góc tim tuyến tỷ lệ 1/500.</w:t>
      </w:r>
    </w:p>
    <w:p w14:paraId="0BE9817C"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Khảo sát giao chéo, tĩnh không: Thực hiện đo vẽ bình đồ và trắc dọc chi tiết ở tỷ lệ 1/200 tại các điểm giao chéo. Sử dụng toàn đạc điện tử không gương kết hợp laser xác định cao độ tĩnh không.</w:t>
      </w:r>
    </w:p>
    <w:p w14:paraId="18193449"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Cắm mốc bàn giao thực địa: Tiến hành cắm mốc bê tông định vị tim tuyến, mốc góc và ranh giới GPMB bàn giao cho các bên liên quan.</w:t>
      </w:r>
    </w:p>
    <w:p w14:paraId="19F79DE1"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Phần Trạm biến áp (TBA)</w:t>
      </w:r>
    </w:p>
    <w:p w14:paraId="4B706D8C"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Lưới khống chế mặt bằng và độ cao: Xây dựng hệ thống lưới khống chế đo vẽ bao quanh khuôn viên trạm, đấu nối hệ tọa độ Quốc gia VN-2000 và hệ độ cao Hòn Dấu.</w:t>
      </w:r>
    </w:p>
    <w:p w14:paraId="33275F2A"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Đo vẽ bình đồ chi tiết tỷ lệ lớn: Đo vẽ bình đồ chi tiết toàn bộ khuôn viên, hành lang bảo vệ và hệ thống đường bám trạm ở tỷ lệ 1/500, thể hiện chi tiết từng địa vật, cao độ nền phục vụ thiết kế san nền, tường rào, móng thiết bị.</w:t>
      </w:r>
    </w:p>
    <w:p w14:paraId="087A96CB"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3.2. Phương pháp khảo sát địa chất công trình</w:t>
      </w:r>
    </w:p>
    <w:p w14:paraId="61F796A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Phần đường dây tải điện trên không (ĐDK)</w:t>
      </w:r>
    </w:p>
    <w:p w14:paraId="725A70C2"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Vị trí hố khoan thăm dò: Bố trí hố khoan máy xoay lấy lõi tại 100% các vị trí cột néo, cột góc, cột hãm. Cột đỡ thông thường được điều tiết số lượng hố khoan đảm bảo mật độ kiểm soát không bỏ sót các vùng đất yếu ngầm.</w:t>
      </w:r>
    </w:p>
    <w:p w14:paraId="12A4AD41"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Chiều sâu hố khoan: Xuyên qua toàn bộ lớp cấu trúc đất yếu và ngàm sâu vào lớp đất chịu lực ổn định tối thiểu 3.0m ÷ 5.0m (hoặc ngàm đá gốc tối thiểu 3.0m).</w:t>
      </w:r>
    </w:p>
    <w:p w14:paraId="529743F2"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lastRenderedPageBreak/>
        <w:t>+ Thí nghiệm xuyên tiêu chuẩn (SPT): Thực hiện thí nghiệm SPT trong hố khoan với tần suất dày từ 1.5m ÷ 2.0m một lần hoặc khi thay đổi lớp đất.</w:t>
      </w:r>
    </w:p>
    <w:p w14:paraId="101670A3"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Lấy mẫu và bảo quản: Lấy mẫu đất nguyên dạng và không nguyên dạng bọc sáp kín. Tại các hố khoan có nước ngầm, bắt buộc lấy mẫu nước phân tích đánh giá xâm thực bê tông cốt thép móng ngầm.</w:t>
      </w:r>
    </w:p>
    <w:p w14:paraId="47EBC8E6"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Đo điện trở suất của đất nền: Đo sâu điện đối xứng xác định điện trở suất đất nền tại các vị trí hố khoan để thiết kế nối đất.</w:t>
      </w:r>
    </w:p>
    <w:p w14:paraId="3B86F56C"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xml:space="preserve">- </w:t>
      </w:r>
      <w:r w:rsidRPr="00B32A45">
        <w:rPr>
          <w:color w:val="auto"/>
          <w:rFonts w:ascii="Times New Roman" w:hAnsi="Times New Roman" w:cs="Times New Roman"/>
          <w:b/>
          <w:sz w:val="26"/>
          <w:szCs w:val="26"/>
        </w:rPr>
        <w:t>Phần Trạm biến áp (TBA)</w:t>
      </w:r>
    </w:p>
    <w:p w14:paraId="43821038"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Phương pháp khoan thăm dò: Khoan máy chi tiết tại đúng tâm móng hạng mục chịu lực chính (máy biến áp lực, nhà điều hành trung tâm, cột cổng xuất tuyến).</w:t>
      </w:r>
    </w:p>
    <w:p w14:paraId="6FB501F8"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Chiều sâu và SPT: Ngàm vào lớp đất chịu tải tốt (N_spt ≥ 30) tối thiểu 5m. Thực hiện thí nghiệm SPT tần suất 1.5m ÷ 2.0m/lần.</w:t>
      </w:r>
    </w:p>
    <w:p w14:paraId="0E1967D4" w14:textId="77777777" w:rsidR="00B32A45" w:rsidRPr="00B32A45" w:rsidRDefault="00B32A45" w:rsidP="00B32A45">
      <w:pPr>
        <w:spacing w:after="0" w:line="312" w:lineRule="auto"/>
        <w:ind w:firstLine="357"/>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Mẫu nước và điện trở suất: Bắt buộc lấy mẫu nước ngầm phân tích tính ăn mòn đối với bê tông. Đo sâu điện đối xứng (3 ÷ 6 điểm) để thiết kế lưới nối đất.</w:t>
      </w:r>
    </w:p>
    <w:p w14:paraId="7FB0F6AB"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3.3. Phương pháp khảo sát khí tượng thủy văn</w:t>
      </w:r>
    </w:p>
    <w:p w14:paraId="42F40957"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Thu thập tài liệu: Thu thập và hệ thống hóa tài liệu quan trắc (nhiệt độ, giông sét, độ ẩm, lượng mưa...) từ các Trạm khí tượng thủy văn Quốc gia.</w:t>
      </w:r>
    </w:p>
    <w:p w14:paraId="271714F7"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Điều tra thực địa: Xác định mực nước ngập lớn nhất tại vị trí TBA và các vị trí cột vượt sông, thung lũng trên toàn tuyến ĐDK.</w:t>
      </w:r>
    </w:p>
    <w:p w14:paraId="3B8C10B6"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b/>
          <w:sz w:val="26"/>
          <w:szCs w:val="26"/>
        </w:rPr>
        <w:t>3.4. Thiết bị khảo sát và Phòng thí nghiệm</w:t>
      </w:r>
    </w:p>
    <w:p w14:paraId="0769ECD0"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Thiết bị địa hình: Máy thu tín hiệu vệ tinh GNSS (RTK); Máy toàn đạc điện tử (chế độ không gương); Máy đo khoảng cách laser; Máy thủy bình tự động.</w:t>
      </w:r>
    </w:p>
    <w:p w14:paraId="05AEA11C"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Thiết bị địa chất: Máy khoan xoay lấy lõi dã chiến; Bộ thiết bị đóng SPT tiêu chuẩn; Máy đo sâu điện trở suất.</w:t>
      </w:r>
    </w:p>
    <w:p w14:paraId="176775D5" w14:textId="77777777" w:rsidR="00B32A45" w:rsidRPr="00B32A45" w:rsidRDefault="00B32A45" w:rsidP="00B32A45">
      <w:pPr>
        <w:spacing w:after="0" w:line="312" w:lineRule="auto"/>
        <w:jc w:val="both"/>
        <w:rPr>
          <w:color w:val="auto"/>
          <w:rFonts w:ascii="Times New Roman" w:hAnsi="Times New Roman" w:cs="Times New Roman"/>
          <w:sz w:val="26"/>
          <w:szCs w:val="26"/>
        </w:rPr>
      </w:pPr>
      <w:r w:rsidRPr="00B32A45">
        <w:rPr>
          <w:color w:val="auto"/>
          <w:rFonts w:ascii="Times New Roman" w:hAnsi="Times New Roman" w:cs="Times New Roman"/>
          <w:sz w:val="26"/>
          <w:szCs w:val="26"/>
        </w:rPr>
        <w:t>- Phòng thí nghiệm sử dụng: Phòng thí nghiệm hợp chuẩn Quốc gia (Mã số LAS-XD...).</w:t>
      </w:r>
    </w:p>
    <w:p w14:paraId="77202ADE" w14:textId="77777777" w:rsidR="00B32A45" w:rsidRDefault="00B32A45" w:rsidP="00B32A45">
      <w:pPr>
        <w:spacing w:after="0" w:line="312" w:lineRule="auto"/>
        <w:jc w:val="both"/>
      </w:pPr>
      <w:r w:rsidRPr="00B32A45">
        <w:rPr>
          <w:color w:val="auto"/>
          <w:rFonts w:ascii="Times New Roman" w:hAnsi="Times New Roman" w:cs="Times New Roman"/>
          <w:sz w:val="26"/>
          <w:szCs w:val="26"/>
        </w:rPr>
        <w:t>- Phạm vi thí nghiệm: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
      </w:r>
    </w:p>
    <w:p w14:paraId="657F8A99" w14:textId="33A28BCF" w:rsidR="00FB7A22" w:rsidRPr="00B32A45" w:rsidRDefault="00FB7A22" w:rsidP="00B32A45">
      <w:pPr>
        <w:spacing w:after="0" w:line="312" w:lineRule="auto"/>
        <w:jc w:val="both"/>
        <w:rPr>
          <w:color w:val="auto"/>
          <w:rFonts w:ascii="Times New Roman" w:hAnsi="Times New Roman" w:cs="Times New Roman"/>
          <w:bCs/>
          <w:sz w:val="26"/>
          <w:szCs w:val="26"/>
          <w:lang w:val="en-US"/>
        </w:rPr>
      </w:pPr>
    </w:p>
    <w:p w14:paraId="68F50C30" w14:textId="54204ED4" w:rsidR="00FB7A22" w:rsidRDefault="00FB7A22" w:rsidP="00EC2D51">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17DE1" w14:paraId="4C18B33D" w14:textId="77777777" w:rsidTr="00012D29">
        <w:trPr>
          <w:tblHeader/>
        </w:trPr>
        <w:tc>
          <w:tcPr>
            <w:tcW w:w="817" w:type="dxa"/>
            <w:vAlign w:val="center"/>
          </w:tcPr>
          <w:p w14:paraId="6DDE3C5F" w14:textId="77777777" w:rsidR="00480B41"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01BF00A0" w14:textId="77777777" w:rsidR="00480B41"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1787B432" w14:textId="77777777" w:rsidR="00480B41" w:rsidRDefault="00000000" w:rsidP="00012D29">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F17DE1" w14:paraId="39CBF297" w14:textId="77777777" w:rsidTr="00012D29">
        <w:tc>
          <w:tcPr>
            <w:tcW w:w="817" w:type="dxa"/>
            <w:vAlign w:val="center"/>
          </w:tcPr>
          <w:p w14:paraId="6AA10A2B" w14:textId="77777777" w:rsidR="00480B41" w:rsidRDefault="00000000"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F0FF9C0" w14:textId="77777777" w:rsidR="00480B41" w:rsidRDefault="00000000" w:rsidP="00012D29">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62ED0454" w14:textId="77777777" w:rsidR="00480B41" w:rsidRDefault="00000000" w:rsidP="00012D29">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31A87BF1" w14:textId="59CE07DC" w:rsidR="00FB7A22" w:rsidRPr="00FB7A22" w:rsidRDefault="00FB7A22" w:rsidP="00FB7A22">
      <w:pPr>
        <w:jc w:val="both"/>
        <w:rPr>
          <w:color w:val="auto"/>
          <w:sz w:val="26"/>
          <w:szCs w:val="26"/>
        </w:rPr>
      </w:pPr>
    </w:p>
    <w:p w14:paraId="27A788CC" w14:textId="699E36AD" w:rsidR="00FB7A22" w:rsidRPr="00FB7A22" w:rsidRDefault="00FB7A22" w:rsidP="00EC2D51">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6500C8CF" w:rsidR="00FB7A22" w:rsidRPr="00FB7A22" w:rsidRDefault="00FB7A22" w:rsidP="00FB7A22">
      <w:pPr>
        <w:jc w:val="both"/>
        <w:rPr>
          <w:color w:val="auto"/>
          <w:sz w:val="26"/>
          <w:szCs w:val="26"/>
        </w:rPr>
      </w:pPr>
      <w:r w:rsidRPr="00FB7A22">
        <w:rPr>
          <w:color w:val="auto"/>
          <w:rFonts w:ascii="Times New Roman" w:hAnsi="Times New Roman"/>
          <w:sz w:val="26"/>
          <w:szCs w:val="26"/>
        </w:rPr>
        <w:t>Chủ nhiệm khảo sát: {</w:t>
      </w:r>
      <w:r w:rsidR="002C0B5F" w:rsidRPr="002C0B5F">
        <w:rPr>
          <w:color w:val="auto"/>
          <w:rFonts w:ascii="Times New Roman" w:hAnsi="Times New Roman"/>
          <w:sz w:val="26"/>
          <w:szCs w:val="26"/>
        </w:rPr>
        <w:t>chu_nhiem_ks</w:t>
      </w:r>
      <w:r w:rsidRPr="00FB7A22">
        <w:rPr>
          <w:color w:val="auto"/>
          <w:rFonts w:ascii="Times New Roman" w:hAnsi="Times New Roman"/>
          <w:sz w:val="26"/>
          <w:szCs w:val="26"/>
        </w:rPr>
        <w:t>}</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EC2D51">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EC2D51">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1F1CDBD7" w14:textId="5FB0F198"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312A8A8B" w14:textId="08E3CC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4811BC41" w14:textId="0494C6A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6B6FE792" w14:textId="3E29E33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
      </w:r>
    </w:p>
    <w:p w14:paraId="3F13C3B3" w14:textId="417B2CA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74478703"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lastRenderedPageBreak/>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0DCA2" w14:textId="77777777" w:rsidR="00EF0C43" w:rsidRDefault="00EF0C43">
      <w:pPr>
        <w:spacing w:after="0" w:line="240" w:lineRule="auto"/>
      </w:pPr>
      <w:r>
        <w:separator/>
      </w:r>
    </w:p>
  </w:endnote>
  <w:endnote w:type="continuationSeparator" w:id="0">
    <w:p w14:paraId="34D4C6A7" w14:textId="77777777" w:rsidR="00EF0C43" w:rsidRDefault="00EF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5FFCBBB-7E83-4233-876E-6F8B7B67ADE7}"/>
    <w:embedBold r:id="rId2" w:fontKey="{BF0875C5-E1F6-447F-AA01-157987C620F9}"/>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680EEB8C-F922-4998-943D-E797CD9ECC8C}"/>
  </w:font>
  <w:font w:name="Calibri">
    <w:panose1 w:val="020F0502020204030204"/>
    <w:charset w:val="00"/>
    <w:family w:val="swiss"/>
    <w:pitch w:val="variable"/>
    <w:sig w:usb0="E4002EFF" w:usb1="C200247B" w:usb2="00000009" w:usb3="00000000" w:csb0="000001FF" w:csb1="00000000"/>
    <w:embedRegular r:id="rId4" w:fontKey="{F7C605A1-E1AC-422F-919A-74A4D681F97C}"/>
    <w:embedBold r:id="rId5" w:fontKey="{95DDD853-EA64-4C38-963D-38A272D40EE0}"/>
    <w:embedItalic r:id="rId6" w:fontKey="{EF6FAE24-6373-40F1-A1F3-105D098C9FA7}"/>
    <w:embedBoldItalic r:id="rId7" w:fontKey="{48C5D79D-871F-4A7B-A4D0-24DE26B642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29DC" w14:textId="42234720" w:rsidR="00EC2D51" w:rsidRDefault="00EC2D51" w:rsidP="00EC2D51">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EA76B" w14:textId="77777777" w:rsidR="00EF0C43" w:rsidRDefault="00EF0C43">
      <w:pPr>
        <w:spacing w:after="0" w:line="240" w:lineRule="auto"/>
      </w:pPr>
      <w:r>
        <w:separator/>
      </w:r>
    </w:p>
  </w:footnote>
  <w:footnote w:type="continuationSeparator" w:id="0">
    <w:p w14:paraId="4FB11BDB" w14:textId="77777777" w:rsidR="00EF0C43" w:rsidRDefault="00EF0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C2D51" w14:paraId="5E089115" w14:textId="77777777" w:rsidTr="00EC2D51">
      <w:tc>
        <w:tcPr>
          <w:tcW w:w="9395" w:type="dxa"/>
        </w:tcPr>
        <w:p w14:paraId="5AA9F4C3" w14:textId="77777777" w:rsidR="00EC2D51" w:rsidRPr="00A76476" w:rsidRDefault="00EC2D51" w:rsidP="00EC2D51">
          <w:pPr>
            <w:pStyle w:val="Header"/>
            <w:pBdr>
              <w:bottom w:val="thickThinSmallGap" w:sz="18" w:space="1" w:color="auto"/>
            </w:pBdr>
            <w:rPr>
              <w:color w:val="auto"/>
              <w:b/>
              <w:bCs/>
              <w:sz w:val="26"/>
              <w:szCs w:val="26"/>
            </w:rPr>
          </w:pPr>
          <w:r w:rsidRPr="00A76476">
            <w:rPr>
              <w:color w:val="auto"/>
              <w:b/>
              <w:bCs/>
              <w:sz w:val="26"/>
              <w:szCs w:val="26"/>
            </w:rPr>
            <w:t>Công trình: {ten_du_an}</w:t>
          </w:r>
        </w:p>
        <w:p w14:paraId="33A50DA0" w14:textId="6D39FCAC" w:rsidR="00EC2D51" w:rsidRPr="00EC2D51" w:rsidRDefault="00EC2D51" w:rsidP="00EC2D51">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78494D2" w:rsidR="00A76476" w:rsidRPr="00EC2D51" w:rsidRDefault="00A76476" w:rsidP="00EC2D5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27858"/>
    <w:rsid w:val="000408E6"/>
    <w:rsid w:val="000931C9"/>
    <w:rsid w:val="000D1031"/>
    <w:rsid w:val="000F3563"/>
    <w:rsid w:val="000F5925"/>
    <w:rsid w:val="001277B2"/>
    <w:rsid w:val="001D00A4"/>
    <w:rsid w:val="00231372"/>
    <w:rsid w:val="00287BA6"/>
    <w:rsid w:val="002C0B5F"/>
    <w:rsid w:val="00347233"/>
    <w:rsid w:val="00403377"/>
    <w:rsid w:val="004071CA"/>
    <w:rsid w:val="00480B41"/>
    <w:rsid w:val="0048656A"/>
    <w:rsid w:val="004A035C"/>
    <w:rsid w:val="004E3E42"/>
    <w:rsid w:val="004F29EA"/>
    <w:rsid w:val="00507EDE"/>
    <w:rsid w:val="00515FAE"/>
    <w:rsid w:val="00536EA6"/>
    <w:rsid w:val="005D5F0B"/>
    <w:rsid w:val="005F5626"/>
    <w:rsid w:val="00625B61"/>
    <w:rsid w:val="006336F0"/>
    <w:rsid w:val="00650C39"/>
    <w:rsid w:val="00651622"/>
    <w:rsid w:val="006B3B43"/>
    <w:rsid w:val="006C6AED"/>
    <w:rsid w:val="006E2C29"/>
    <w:rsid w:val="007058BB"/>
    <w:rsid w:val="007167FE"/>
    <w:rsid w:val="00764151"/>
    <w:rsid w:val="00783E1B"/>
    <w:rsid w:val="007B730B"/>
    <w:rsid w:val="007E0E29"/>
    <w:rsid w:val="00836AF4"/>
    <w:rsid w:val="008B0438"/>
    <w:rsid w:val="008C339F"/>
    <w:rsid w:val="008C5C7B"/>
    <w:rsid w:val="008D5874"/>
    <w:rsid w:val="00942E2C"/>
    <w:rsid w:val="009E3126"/>
    <w:rsid w:val="009F0BC9"/>
    <w:rsid w:val="00A069DD"/>
    <w:rsid w:val="00A31527"/>
    <w:rsid w:val="00A543A1"/>
    <w:rsid w:val="00A74CE7"/>
    <w:rsid w:val="00A76476"/>
    <w:rsid w:val="00B32A45"/>
    <w:rsid w:val="00BE348A"/>
    <w:rsid w:val="00BF103C"/>
    <w:rsid w:val="00CF52DF"/>
    <w:rsid w:val="00D43DB2"/>
    <w:rsid w:val="00DE44A4"/>
    <w:rsid w:val="00E0547E"/>
    <w:rsid w:val="00E070D9"/>
    <w:rsid w:val="00E745C4"/>
    <w:rsid w:val="00E96BE5"/>
    <w:rsid w:val="00EB565D"/>
    <w:rsid w:val="00EC2D51"/>
    <w:rsid w:val="00EC6A52"/>
    <w:rsid w:val="00EF0C43"/>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EC2D5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16</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