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5"/>
        <w:gridCol w:w="3691"/>
        <w:gridCol w:w="2095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3.04.2025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i/>
                <w:i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 xml:space="preserve">1. мы изучили виды инструктажей по технике безопасности и охране труда для сотрудников отделов </w:t>
            </w:r>
            <w:r>
              <w:rPr>
                <w:rFonts w:ascii="GOST type B" w:hAnsi="GOST type B"/>
                <w:b/>
                <w:bCs/>
                <w:i/>
                <w:iCs/>
                <w:lang w:val="en-US" w:eastAsia="en-US" w:bidi="ar-SA"/>
              </w:rPr>
              <w:t>IT</w:t>
            </w: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; приобрели умения составления инструкций по охране труда, приобрели умений проведения инструктажа по технике безопасности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(Приложение А,Презентация)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4.04.2025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консольное приложение по варианту — Турагентство. Использовали шаблоны Строитель, Мост, Состояние.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5.04.2025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графическое приложение по варианту — Турагентство. Использовали различные окна.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7.04.2025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 xml:space="preserve">Мы разработали консольное приложение для решения  нелинейное уравнение вида 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)=0 и 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8.04.2025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Мы разработали консольное приложение с выбором функции и формулы для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(Приложение Г)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9.04.2025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Мы разработали приложение для работы с массивами, разработали 5 методов два из них по вариантам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10.04.2025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 xml:space="preserve">Мы разработали приложение для работы с </w:t>
            </w: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рейсами можно устанавливать разные переменные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  <w:shd w:fill="FFFF00" w:val="clear"/>
        </w:rPr>
        <w:t>И.О.Гаврилов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LibreOffice/7.3.7.2$Linux_X86_64 LibreOffice_project/30$Build-2</Application>
  <AppVersion>15.0000</AppVersion>
  <Pages>2</Pages>
  <Words>340</Words>
  <Characters>2566</Characters>
  <CharactersWithSpaces>2874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2025-04-10T12:56:34Z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