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40"/>
              <w:left w:type="dxa" w:w="280"/>
              <w:bottom w:type="dxa" w:w="240"/>
              <w:right w:type="dxa" w:w="280"/>
            </w:tcMar>
          </w:tcPr>
          <w:p>
            <w:r>
              <w:drawing>
                <wp:inline distT="0" distB="0" distL="0" distR="0">
                  <wp:extent cx="152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457200"/>
                          </a:xfrm>
                          <a:prstGeom prst="rect">
                            <a:avLst/>
                          </a:prstGeom>
                        </pic:spPr>
                      </pic:pic>
                    </a:graphicData>
                  </a:graphic>
                </wp:inline>
              </w:drawing>
            </w:r>
          </w:p>
          <w:p>
            <w:pPr>
              <w:spacing w:before="160"/>
              <w:jc w:val="left"/>
            </w:pPr>
            <w:r>
              <w:rPr>
                <w:rFonts w:ascii="DM Sans" w:cs="DM Sans" w:eastAsia="DM Sans" w:hAnsi="DM Sans"/>
                <w:color w:val="D6EAF8"/>
                <w:sz w:val="18"/>
                <w:szCs w:val="18"/>
              </w:rPr>
              <w:t xml:space="preserve">iTarang CRM — Business Requirements Document</w:t>
            </w:r>
          </w:p>
          <w:p>
            <w:pPr>
              <w:jc w:val="left"/>
            </w:pPr>
            <w:r>
              <w:rPr>
                <w:rFonts w:ascii="DM Sans" w:cs="DM Sans" w:eastAsia="DM Sans" w:hAnsi="DM Sans"/>
                <w:b/>
                <w:bCs/>
                <w:color w:val="FFFFFF"/>
                <w:sz w:val="36"/>
                <w:szCs w:val="36"/>
              </w:rPr>
              <w:t xml:space="preserve">Sections 6.0 – 6.5</w:t>
            </w:r>
          </w:p>
          <w:p>
            <w:pPr>
              <w:jc w:val="left"/>
            </w:pPr>
            <w:r>
              <w:rPr>
                <w:rFonts w:ascii="DM Sans" w:cs="DM Sans" w:eastAsia="DM Sans" w:hAnsi="DM Sans"/>
                <w:color w:val="F4F7FA"/>
                <w:sz w:val="17"/>
                <w:szCs w:val="17"/>
              </w:rPr>
              <w:t xml:space="preserve">Brand Guidelines · NBFC Onboarding · Portal · Telemetry · Admin Control · Compliance · Sync Audit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Brand System</w:t>
            </w:r>
          </w:p>
          <w:p>
            <w:pPr>
              <w:jc w:val="center"/>
            </w:pPr>
            <w:r>
              <w:rPr>
                <w:rFonts w:ascii="Arial" w:cs="Arial" w:eastAsia="Arial" w:hAnsi="Arial"/>
                <w:b/>
                <w:bCs/>
                <w:color w:val="FFFFFF"/>
                <w:sz w:val="34"/>
                <w:szCs w:val="34"/>
              </w:rPr>
              <w:t xml:space="preserve">Section 6.B — Brand &amp; UI Guidelines</w:t>
            </w:r>
          </w:p>
          <w:p>
            <w:pPr>
              <w:jc w:val="center"/>
            </w:pPr>
            <w:r>
              <w:rPr>
                <w:rFonts w:ascii="Arial" w:cs="Arial" w:eastAsia="Arial" w:hAnsi="Arial"/>
                <w:color w:val="F4F7FA"/>
                <w:sz w:val="18"/>
                <w:szCs w:val="18"/>
              </w:rPr>
              <w:t xml:space="preserve">Colour Palette · Typography · Component Standards · Design Tokens</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6.B.1 BRAND IDENTITY — COLOUR PALETTE</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All colours extracted directly from the iTarang logo. Every CRM screen — dealer portal, admin panel, NBFC portal — must use these tokens via CSS variables. Never hard-code hex values in stylesheets.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CSS Token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Hex</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RGB</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Usage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--brand-sky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#138fc6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19,143,198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CTAs · active step · focus rings · sidebar active accent · badge info</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--brand-navy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#02314e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2,49,78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bar · sidebar background · dark section banners · headings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--brand-teal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#165e73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22,94,115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Secondary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Gradient mid-stop · section dividers · h2 colour · sub-banners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--brand-royal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#2e68b2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46,104,178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Charts · stat card accent lines · icon gradient · progress bars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--brand-silver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#cecccd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206,204,205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Disabled states · borders · placeholder text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#f4f7fa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244,247,250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Surface 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 background · alternating table rows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--surface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#ffffff</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255,255,255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Surface 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Cards · modals · form panels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--border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#e3e8ef</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227,232,239</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Stroke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 borders · input borders · table dividers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iTarang Primary Gradient — CTA buttons, hero banners, active indicators */</w:t>
            </w:r>
          </w:p>
          <w:p>
            <w:pPr>
              <w:spacing w:after="18" w:before="18"/>
            </w:pPr>
            <w:r>
              <w:rPr>
                <w:rFonts w:ascii="Courier New" w:cs="Courier New" w:eastAsia="Courier New" w:hAnsi="Courier New"/>
                <w:color w:val="1a1a2e"/>
                <w:sz w:val="16"/>
                <w:szCs w:val="16"/>
              </w:rPr>
              <w:t xml:space="preserve">background: linear-gradient(135deg, #2e68b2, #138fc6, #165e73);</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Dark Surface Gradient — navigation bar, modal overlays */</w:t>
            </w:r>
          </w:p>
          <w:p>
            <w:pPr>
              <w:spacing w:after="18" w:before="18"/>
            </w:pPr>
            <w:r>
              <w:rPr>
                <w:rFonts w:ascii="Courier New" w:cs="Courier New" w:eastAsia="Courier New" w:hAnsi="Courier New"/>
                <w:color w:val="1a1a2e"/>
                <w:sz w:val="16"/>
                <w:szCs w:val="16"/>
              </w:rPr>
              <w:t xml:space="preserve">background: linear-gradient(145deg, #02314e, #0a3d5c);</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Semantic tokens */</w:t>
            </w:r>
          </w:p>
          <w:p>
            <w:pPr>
              <w:spacing w:after="18" w:before="18"/>
            </w:pPr>
            <w:r>
              <w:rPr>
                <w:rFonts w:ascii="Courier New" w:cs="Courier New" w:eastAsia="Courier New" w:hAnsi="Courier New"/>
                <w:color w:val="1a1a2e"/>
                <w:sz w:val="16"/>
                <w:szCs w:val="16"/>
              </w:rPr>
              <w:t xml:space="preserve">--color-success:  #1e7e34;  --color-success-bg:  #d4edda;</w:t>
            </w:r>
          </w:p>
          <w:p>
            <w:pPr>
              <w:spacing w:after="18" w:before="18"/>
            </w:pPr>
            <w:r>
              <w:rPr>
                <w:rFonts w:ascii="Courier New" w:cs="Courier New" w:eastAsia="Courier New" w:hAnsi="Courier New"/>
                <w:color w:val="1a1a2e"/>
                <w:sz w:val="16"/>
                <w:szCs w:val="16"/>
              </w:rPr>
              <w:t xml:space="preserve">--color-warning:  #b45309;  --color-warning-bg:  #fff3cd;</w:t>
            </w:r>
          </w:p>
          <w:p>
            <w:pPr>
              <w:spacing w:after="18" w:before="18"/>
            </w:pPr>
            <w:r>
              <w:rPr>
                <w:rFonts w:ascii="Courier New" w:cs="Courier New" w:eastAsia="Courier New" w:hAnsi="Courier New"/>
                <w:color w:val="1a1a2e"/>
                <w:sz w:val="16"/>
                <w:szCs w:val="16"/>
              </w:rPr>
              <w:t xml:space="preserve">--color-danger:   #c0392b;  --color-danger-bg:   #fdecea;</w:t>
            </w:r>
          </w:p>
          <w:p>
            <w:pPr>
              <w:spacing w:after="18" w:before="18"/>
            </w:pPr>
            <w:r>
              <w:rPr>
                <w:rFonts w:ascii="Courier New" w:cs="Courier New" w:eastAsia="Courier New" w:hAnsi="Courier New"/>
                <w:color w:val="1a1a2e"/>
                <w:sz w:val="16"/>
                <w:szCs w:val="16"/>
              </w:rPr>
              <w:t xml:space="preserve">--color-info:     #138fc6;  --color-info-bg:     #d6eaf8;</w:t>
            </w:r>
          </w:p>
        </w:tc>
      </w:tr>
    </w:tbl>
    <w:p>
      <w:pPr>
        <w:spacing w:after="0" w:before="120"/>
      </w:pPr>
      <w:r>
        <w:t xml:space="preserve"/>
      </w:r>
    </w:p>
    <w:p>
      <w:pPr>
        <w:pStyle w:val="Heading1"/>
        <w:spacing w:after="160" w:before="400"/>
      </w:pPr>
      <w:r>
        <w:rPr>
          <w:rFonts w:ascii="Arial" w:cs="Arial" w:eastAsia="Arial" w:hAnsi="Arial"/>
          <w:b/>
          <w:bCs/>
          <w:color w:val="02314e"/>
          <w:sz w:val="38"/>
          <w:szCs w:val="38"/>
        </w:rPr>
        <w:t xml:space="preserve">6.B.2 TYPOGRAPHY</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Primary typeface: DM Sans (Google Fonts). Geometric, highly legible at small sizes — suited to data-dense fintech screens. DM Mono for all serial numbers, lead IDs, hex values, IMEI numbers, and API code blocks.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60"/>
        <w:gridCol w:w="46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Style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Size / Weight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Line Height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Use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52px / 700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Page titles: 'Product Selection', 'NBFC Onboarding'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24px / 600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headings, panel titles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18px / 600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 headings, modal titles, sub-panel labels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Body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14px / 400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content, form labels, description text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Small / Label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12px / 600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labels (ALL CAPS + 0.12em tracking), badge text, hints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DM Mono 13px/400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BAT12345 · IT-2026-0000123 · #138fc6 · IMEI · API paths</w:t>
            </w:r>
          </w:p>
        </w:tc>
      </w:tr>
    </w:tbl>
    <w:p>
      <w:pPr>
        <w:spacing w:after="0" w:before="120"/>
      </w:pPr>
      <w:r>
        <w:t xml:space="preserve"/>
      </w:r>
    </w:p>
    <w:p>
      <w:pPr>
        <w:pStyle w:val="Heading1"/>
        <w:spacing w:after="160" w:before="400"/>
      </w:pPr>
      <w:r>
        <w:rPr>
          <w:rFonts w:ascii="Arial" w:cs="Arial" w:eastAsia="Arial" w:hAnsi="Arial"/>
          <w:b/>
          <w:bCs/>
          <w:color w:val="02314e"/>
          <w:sz w:val="38"/>
          <w:szCs w:val="38"/>
        </w:rPr>
        <w:t xml:space="preserve">6.B.3 COMPONENT STANDARDS</w:t>
      </w:r>
    </w:p>
    <w:p>
      <w:pPr>
        <w:pBdr>
          <w:bottom w:val="single" w:color="165e73" w:sz="6"/>
        </w:pBdr>
        <w:spacing w:after="160" w:before="160"/>
      </w:pPr>
      <w:r>
        <w:t xml:space="preserve"/>
      </w:r>
    </w:p>
    <w:p>
      <w:pPr>
        <w:pStyle w:val="Heading2"/>
        <w:spacing w:after="120" w:before="300"/>
      </w:pPr>
      <w:r>
        <w:rPr>
          <w:rFonts w:ascii="Arial" w:cs="Arial" w:eastAsia="Arial" w:hAnsi="Arial"/>
          <w:b/>
          <w:bCs/>
          <w:color w:val="165e73"/>
          <w:sz w:val="28"/>
          <w:szCs w:val="28"/>
        </w:rPr>
        <w:t xml:space="preserve">6.B.3.1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Background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Text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CRM Action</w:t>
            </w:r>
          </w:p>
        </w:tc>
      </w:tr>
      <w:tr>
        <w:tc>
          <w:tcPr>
            <w:tcW w:type="dxa" w:w="4680"/>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Primary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Gradient #2e68b2→#138fc6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 Lead · Submit for Approval · Confirm Sale · Validate &amp; Confirm Dispatch</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#02314e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for Final Approval · Save Draft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Secondary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#138fc6 at 10% opacity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#138fc6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Docs · Send OTP · Download Profile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Ghost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Transparent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#3d5166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 · Cancel</w:t>
            </w:r>
          </w:p>
        </w:tc>
      </w:tr>
      <w:tr>
        <w:tc>
          <w:tcPr>
            <w:tcW w:type="dxa" w:w="468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Danger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#fdecea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#c0392b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 Lead · Reject Document · Write-Off</w:t>
            </w:r>
          </w:p>
        </w:tc>
      </w:tr>
    </w:tbl>
    <w:p>
      <w:pPr>
        <w:spacing w:after="0" w:before="80"/>
      </w:pPr>
      <w:r>
        <w:t xml:space="preserve"/>
      </w:r>
    </w:p>
    <w:p>
      <w:pPr>
        <w:pStyle w:val="Heading2"/>
        <w:spacing w:after="120" w:before="300"/>
      </w:pPr>
      <w:r>
        <w:rPr>
          <w:rFonts w:ascii="Arial" w:cs="Arial" w:eastAsia="Arial" w:hAnsi="Arial"/>
          <w:b/>
          <w:bCs/>
          <w:color w:val="165e73"/>
          <w:sz w:val="28"/>
          <w:szCs w:val="28"/>
        </w:rPr>
        <w:t xml:space="preserve">6.B.3.2 Navigation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#02314e — solid navy. No gradient.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logo PNG at 28px height. Padding 20px. Border-bottom 1px rgba(255,255,255,0.07).</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labels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9px / 700 / ALL CAPS / 0.14em tracking / rgba(255,255,255,0.30)</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 items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13px DM Sans Medium. rgba(255,255,255,0.60). Padding 9px 20px. Left border: 3px transparent.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state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 rgba(19,143,198,0.15). Left border: 3px #138fc6. Text: white.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 badges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#138fc6 pill. Only shown when actionable items exist.</w:t>
            </w:r>
          </w:p>
        </w:tc>
      </w:tr>
    </w:tbl>
    <w:p>
      <w:pPr>
        <w:spacing w:after="0" w:before="80"/>
      </w:pPr>
      <w:r>
        <w:t xml:space="preserve"/>
      </w:r>
    </w:p>
    <w:p>
      <w:pPr>
        <w:pStyle w:val="Heading2"/>
        <w:spacing w:after="120" w:before="300"/>
      </w:pPr>
      <w:r>
        <w:rPr>
          <w:rFonts w:ascii="Arial" w:cs="Arial" w:eastAsia="Arial" w:hAnsi="Arial"/>
          <w:b/>
          <w:bCs/>
          <w:color w:val="165e73"/>
          <w:sz w:val="28"/>
          <w:szCs w:val="28"/>
        </w:rPr>
        <w:t xml:space="preserve">6.B.3.3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Token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--radius-sm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6px — inputs, badges, buttons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--radius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12px — cards, modals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--radius-lg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20px — hero banners, overlays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--shadow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4px 16px rgba(2,49,78,0.10)</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--transition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0.18s ease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--font-primary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'DM Sans', system-ui, sans-serif</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--font-mono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'DM Mono', 'Courier New', monospace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--space-base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4px grid: 4 / 8 / 12 / 16 / 20 / 24 / 32 / 40 / 48 / 64px</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Arial" w:cs="Arial" w:eastAsia="Arial" w:hAnsi="Arial"/>
          <w:b/>
          <w:bCs/>
          <w:color w:val="02314e"/>
          <w:sz w:val="38"/>
          <w:szCs w:val="38"/>
        </w:rPr>
        <w:t xml:space="preserve">OVERVIEW — HOW THESE SECTIONS FIT THE BRD</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Sections 1–5 of the iTarang CRM BRD define the lead-to-dispatch journey (dealer side) and inventory management (admin + dealer side). The sections below define the parallel infrastructure that makes financed EV lending viable at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Covers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Guidelines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colour palette, typography (DM Sans), component standards, and design tokens. Applies to all portals.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Onboarding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How a new lending partner (NBFC / bank / FLDG funder) is registered, verified, configured, and activated on the iTarang platform.</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Portal (Landing)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NBFC-facing dashboard: portfolio view, lead intelligence, battery monitoring, risk scoring (CDS / PCI), alerts, recovery, auction, and audit log.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Ingestion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How IoT device data (SOC, SOH, GPS, charge cycles, usage patterns) flows from the battery into the CRM — ingestion pipeline, APIs, storage, data freshness rules.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 Control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iTarang super-admin layer: ecosystem overview, partner network, NBFC portfolio monitoring, risk rule engine, auction control centre, alert configuration, audit log.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 &amp; RBI Rules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Digital Lending Directions 2025 compliance requirements: immobilisation dual-approval, borrower notice, grievance channel, data purpose display, DPDPA obligations.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Sync Audit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Cross-document audit of workflows and schemas between this document and the Dealer Onboarding BRD (V2-24th-Feb-2). 10 gaps found and resolved.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38fc6"/>
                <w:sz w:val="20"/>
                <w:szCs w:val="20"/>
              </w:rPr>
              <w:t xml:space="preserve">Relationship to Loan Sanction (Section 3.2 / Step 4)</w:t>
            </w:r>
          </w:p>
          <w:p>
            <w:pPr>
              <w:spacing w:before="60"/>
            </w:pPr>
            <w:r>
              <w:rPr>
                <w:rFonts w:ascii="Arial" w:cs="Arial" w:eastAsia="Arial" w:hAnsi="Arial"/>
                <w:sz w:val="19"/>
                <w:szCs w:val="19"/>
              </w:rPr>
              <w:t xml:space="preserve">When iTarang Admin enters 'Loan Approved By: ABC Finance Ltd' and 'Loan File Number: ABC-2026-00789' during the Loan Sanctioned action, the lender named must exist as an active NBFC in the system (Section 6.0). The loan_sanction record FK references nbfc.id. Without NBFC onboarding, no finance-path lead can be closed.</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CRM — Section 6.0</w:t>
            </w:r>
          </w:p>
          <w:p>
            <w:pPr>
              <w:jc w:val="center"/>
            </w:pPr>
            <w:r>
              <w:rPr>
                <w:rFonts w:ascii="Arial" w:cs="Arial" w:eastAsia="Arial" w:hAnsi="Arial"/>
                <w:b/>
                <w:bCs/>
                <w:color w:val="FFFFFF"/>
                <w:sz w:val="34"/>
                <w:szCs w:val="34"/>
              </w:rPr>
              <w:t xml:space="preserve">NBFC Onboarding</w:t>
            </w:r>
          </w:p>
          <w:p>
            <w:pPr>
              <w:jc w:val="center"/>
            </w:pPr>
            <w:r>
              <w:rPr>
                <w:rFonts w:ascii="Arial" w:cs="Arial" w:eastAsia="Arial" w:hAnsi="Arial"/>
                <w:color w:val="F4F7FA"/>
                <w:sz w:val="18"/>
                <w:szCs w:val="18"/>
              </w:rPr>
              <w:t xml:space="preserve">Registration · Document Verification · Configuration · Activation · Admin Approval</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6.0.1 OVERVIEW</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Any NBFC, bank, or lending partner that finances iTarang customer loans must be onboarded to the platform before any loan sanction can reference them. NBFC onboarding is an admin-controlled process — the NBFC does not self-serve. iTarang's internal team initiates onboarding on behalf of the lending partner.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38fc6"/>
                <w:sz w:val="20"/>
                <w:szCs w:val="20"/>
              </w:rPr>
              <w:t xml:space="preserve">Who Initiates NBFC Onboarding</w:t>
            </w:r>
          </w:p>
          <w:p>
            <w:pPr>
              <w:spacing w:before="60"/>
            </w:pPr>
            <w:r>
              <w:rPr>
                <w:rFonts w:ascii="Arial" w:cs="Arial" w:eastAsia="Arial" w:hAnsi="Arial"/>
                <w:sz w:val="19"/>
                <w:szCs w:val="19"/>
              </w:rPr>
              <w:t xml:space="preserve">iTarang Sales / Partnerships team initiates onboarding after signing an offline agreement with the NBFC. The NBFC provides its documents; iTarang admin enters and verifies them. The NBFC receives portal access credentials only after full activation.</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6.0.2 NBFC Onboarding Steps (Revised — Sync Audit G-01)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B45309"/>
                <w:sz w:val="20"/>
                <w:szCs w:val="20"/>
              </w:rPr>
              <w:t xml:space="preserve">Correction from Sync Audit G-01</w:t>
            </w:r>
          </w:p>
          <w:p>
            <w:pPr>
              <w:spacing w:before="60"/>
            </w:pPr>
            <w:r>
              <w:rPr>
                <w:rFonts w:ascii="Arial" w:cs="Arial" w:eastAsia="Arial" w:hAnsi="Arial"/>
                <w:sz w:val="19"/>
                <w:szCs w:val="19"/>
              </w:rPr>
              <w:t xml:space="preserve">The original 5-step flow had no LSP Agreement signing step. The dealer onboarding BRD (V2-24th-Feb-2) uses Digio for dealer finance agreements. NBFC onboarding now uses the same Digio integration for the LSP Agreement — same API, same agreement_status ENUM, same webhook routing. Signing order: NBFC Signatory → iTarang Signatory 1 → iTarang Signatory 2 (sequential: true).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creates NBFC record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Super Admin opens Admin Panel → Partner Management → New NBFC. Fills master details form (Section 6.0.3).</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 documents uploaded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uploads 11 compliance documents (Section 6.0.4). Each through verified/rejected workflow identical to dealer document onboarding. Status: Pending Admin Review.</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 product configuration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configures the NBFC's operational parameters: loan products supported, interest rate bands, geography, disbursement method, NACH mandate type (Section 6.0.5).</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LSP Agreement — Digio eSign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initiates LSP Agreement via Digio. Payload: NBFC identity, GST, PAN, bank details, 3 signatories (NBFC Signatory, iTarang Signatory 1, iTarang Signatory 2). sequential: true. expire_in_days: 5. Callback: 'NBFC_{nbfc_id}'. agreement_status tracks via unified 7-state ENUM (Section 6.0.4a).</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final review &amp; approval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can ONLY approve after: (a) all compliance docs uploaded, AND (b) lsp_agreement.agreement_status = COMPLETED. Approve button disabled if agreement pending. Tooltip: 'Cannot activate until LSP Agreement is fully signed and downloaded from Digio.'</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approval: NBFC status = active. Portal credentials generated and sent to primary_contact_email. NBFC appears in admin loan sanction dropdown for dealers in dealer_nbfc_assignments table (Section 6.0.8).</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6.0.3 NBFC Master Details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600"/>
        <w:gridCol w:w="1960"/>
        <w:gridCol w:w="1200"/>
        <w:gridCol w:w="332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Legal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legal name. Used in all loan sanction records and borrower notices.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Short Name / Brand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in dealer dropdown. e.g. 'ABC Finance'.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Registration Number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NBFC's RBI Certificate of Registration (CoR) number. Validated format: N-XX.XXXXX.XX.XX.XXXX.XXXXX.XX. Unique constraint.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CIN (Company ID Number)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MCA21 company identification number.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GST Number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 2-digit state code + 10-char PAN + 1Z + 1 check. Validated.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 Number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Company PAN.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Address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fields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Address Line 1, Line 2, City, District, State, PIN.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Type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NBFC-ICC | NBFC-MFI | NBFC-Factor | HFC | Scheduled Commercial Bank | Cooperative Bank | Other.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Contact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iTarang's designated point of contact at the NBFC for operations.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Contact Email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credentials sent here on activation.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Contact Phone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10-digit mobile.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 Officer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by RBI DL Directions 2025. Shown in all borrower communications.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 Helpline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Phone/email. Mandatory in immobilisation borrower notice and all collection comms.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 Redressal URL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grievance page URL. Mandatory in borrower notices per RBI.</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Nodal Officer (RBI)</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RBI-designated nodal officer for regulatory escalations.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Partnership Agreement Date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of signed agreement between iTarang and this NBFC.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FLDG / Guarantee Terms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Loss Default Guarantee terms if applicable. Free text.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Geographies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Multi-select state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States in which this NBFC operates. Filters lead-lender matching.</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6.0.4 NBFC Compliance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Certificate of Registration (CoR)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Scanned copy. Expiry date captured. Alert admin 60 days before expiry.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Certificate of Incorporation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 Card (Company)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GST Registration Certificate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Audited Financials (Last 2 FYs)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P&amp;L + Balance Sheet. Used for creditworthiness assessment.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Board Resolution authorising iTarang partnership</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Specific resolution naming iTarang as LSP.</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Fair Practices Code (FPC)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NBFC's published FPC. Must include non-coercive collection language.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KYC Policy Document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NBFC's internal KYC / AML policy.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Executed LSP Agreement with iTarang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Signed agreement designating iTarang as Loan Service Provider. Digio eSign workflow same as dealer agreement.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NACH Mandate Template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NBFC uses NACH for EMI collection, upload their standard mandate template.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Recovery &amp; Immobilisation SOP</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NBFC's documented procedure for asset recovery and immobilisation. Reviewed against RBI DL Directions.</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6.0.5 NBFC Loan Product Configuration</w:t>
      </w:r>
    </w:p>
    <w:p>
      <w:pPr>
        <w:spacing w:after="60" w:before="60"/>
      </w:pPr>
      <w:r>
        <w:rPr>
          <w:rFonts w:ascii="Arial" w:cs="Arial" w:eastAsia="Arial" w:hAnsi="Arial"/>
          <w:b w:val="false"/>
          <w:bCs w:val="false"/>
          <w:color w:val="000000"/>
          <w:sz w:val="20"/>
          <w:szCs w:val="20"/>
        </w:rPr>
        <w:t xml:space="preserve">Each NBFC may offer multiple loan products. Admin configures each product after NBFC activation.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e.g. 'E-Rickshaw Finance Scheme 2026'</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Eligible Battery Categories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Multi-select: 3W | 2W | 4W | Inverter | Solar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 Amount Range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 (₹) — Max (₹). Dealer cannot sanction loans outside this band.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Tenure Range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 months — Max months.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Interest Rate Range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 ROI (%) — Max ROI (%). Informational — actual rate entered per deal.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 Payment Requirement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down payment as % of loan amount.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Subvention Available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No. If Yes: iTarang admin can enter subvention amount in Loan Sanctioned form.</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Charge (Fixed /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amount (₹) or % of loan amount.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Disbursement Method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to Dealer | RTGS to Dealer Account | Escrow. Determines how disbursement_amount flows.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 Inactive. Only active products appear in admin loan sanction form.</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6.0.4a LSP Agreement — Digio Integration (Sync Audit G-01, G-08)</w:t>
      </w:r>
    </w:p>
    <w:p>
      <w:pPr>
        <w:spacing w:after="60" w:before="60"/>
      </w:pPr>
      <w:r>
        <w:rPr>
          <w:rFonts w:ascii="Arial" w:cs="Arial" w:eastAsia="Arial" w:hAnsi="Arial"/>
          <w:b w:val="false"/>
          <w:bCs w:val="false"/>
          <w:color w:val="000000"/>
          <w:sz w:val="20"/>
          <w:szCs w:val="20"/>
        </w:rPr>
        <w:t xml:space="preserve">The LSP Agreement uses the same Digio integration as the dealer finance agreement (V2-24th-Feb-2 Section 5). The agreement_status ENUM is shared across both dealer and NBFC agreements.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Digio API call — same as dealer agreement</w:t>
            </w:r>
          </w:p>
          <w:p>
            <w:pPr>
              <w:spacing w:after="18" w:before="18"/>
            </w:pPr>
            <w:r>
              <w:rPr>
                <w:rFonts w:ascii="Courier New" w:cs="Courier New" w:eastAsia="Courier New" w:hAnsi="Courier New"/>
                <w:color w:val="1a1a2e"/>
                <w:sz w:val="16"/>
                <w:szCs w:val="16"/>
              </w:rPr>
              <w:t xml:space="preserve">POST https://api.digio.in/v2/client/template/multi_templates/create_sign_request</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Key parameters:</w:t>
            </w:r>
          </w:p>
          <w:p>
            <w:pPr>
              <w:spacing w:after="18" w:before="18"/>
            </w:pPr>
            <w:r>
              <w:rPr>
                <w:rFonts w:ascii="Courier New" w:cs="Courier New" w:eastAsia="Courier New" w:hAnsi="Courier New"/>
                <w:color w:val="1a1a2e"/>
                <w:sz w:val="16"/>
                <w:szCs w:val="16"/>
              </w:rPr>
              <w:t xml:space="preserve">  "sequential":    true,          // Enforces NBFC → iTarang1 → iTarang2 signing order</w:t>
            </w:r>
          </w:p>
          <w:p>
            <w:pPr>
              <w:spacing w:after="18" w:before="18"/>
            </w:pPr>
            <w:r>
              <w:rPr>
                <w:rFonts w:ascii="Courier New" w:cs="Courier New" w:eastAsia="Courier New" w:hAnsi="Courier New"/>
                <w:color w:val="1a1a2e"/>
                <w:sz w:val="16"/>
                <w:szCs w:val="16"/>
              </w:rPr>
              <w:t xml:space="preserve">  "expire_in_days": 5,            // Configurable in CRM settings</w:t>
            </w:r>
          </w:p>
          <w:p>
            <w:pPr>
              <w:spacing w:after="18" w:before="18"/>
            </w:pPr>
            <w:r>
              <w:rPr>
                <w:rFonts w:ascii="Courier New" w:cs="Courier New" w:eastAsia="Courier New" w:hAnsi="Courier New"/>
                <w:color w:val="1a1a2e"/>
                <w:sz w:val="16"/>
                <w:szCs w:val="16"/>
              </w:rPr>
              <w:t xml:space="preserve">  "notify_signers": true,</w:t>
            </w:r>
          </w:p>
          <w:p>
            <w:pPr>
              <w:spacing w:after="18" w:before="18"/>
            </w:pPr>
            <w:r>
              <w:rPr>
                <w:rFonts w:ascii="Courier New" w:cs="Courier New" w:eastAsia="Courier New" w:hAnsi="Courier New"/>
                <w:color w:val="1a1a2e"/>
                <w:sz w:val="16"/>
                <w:szCs w:val="16"/>
              </w:rPr>
              <w:t xml:space="preserve">  "customer_notification_mode": "ALL",</w:t>
            </w:r>
          </w:p>
          <w:p>
            <w:pPr>
              <w:spacing w:after="18" w:before="18"/>
            </w:pPr>
            <w:r>
              <w:rPr>
                <w:rFonts w:ascii="Courier New" w:cs="Courier New" w:eastAsia="Courier New" w:hAnsi="Courier New"/>
                <w:color w:val="1a1a2e"/>
                <w:sz w:val="16"/>
                <w:szCs w:val="16"/>
              </w:rPr>
              <w:t xml:space="preserve">  "callback":      "NBFC_{nbfc_id}",  // Routes webhook to NBFC flow</w:t>
            </w:r>
          </w:p>
          <w:p>
            <w:pPr>
              <w:spacing w:after="18" w:before="18"/>
            </w:pPr>
            <w:r>
              <w:rPr>
                <w:rFonts w:ascii="Courier New" w:cs="Courier New" w:eastAsia="Courier New" w:hAnsi="Courier New"/>
                <w:color w:val="1a1a2e"/>
                <w:sz w:val="16"/>
                <w:szCs w:val="16"/>
              </w:rPr>
              <w:t xml:space="preserve">  "estamp_request": { "tags": { "iTarang_Test_DealerAgreement_100": 1 }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Signing order (sequential):</w:t>
            </w:r>
          </w:p>
          <w:p>
            <w:pPr>
              <w:spacing w:after="18" w:before="18"/>
            </w:pPr>
            <w:r>
              <w:rPr>
                <w:rFonts w:ascii="Courier New" w:cs="Courier New" w:eastAsia="Courier New" w:hAnsi="Courier New"/>
                <w:color w:val="1a1a2e"/>
                <w:sz w:val="16"/>
                <w:szCs w:val="16"/>
              </w:rPr>
              <w:t xml:space="preserve">  1. NBFC Signatory</w:t>
            </w:r>
          </w:p>
          <w:p>
            <w:pPr>
              <w:spacing w:after="18" w:before="18"/>
            </w:pPr>
            <w:r>
              <w:rPr>
                <w:rFonts w:ascii="Courier New" w:cs="Courier New" w:eastAsia="Courier New" w:hAnsi="Courier New"/>
                <w:color w:val="1a1a2e"/>
                <w:sz w:val="16"/>
                <w:szCs w:val="16"/>
              </w:rPr>
              <w:t xml:space="preserve">  2. iTarang Signatory 1</w:t>
            </w:r>
          </w:p>
          <w:p>
            <w:pPr>
              <w:spacing w:after="18" w:before="18"/>
            </w:pPr>
            <w:r>
              <w:rPr>
                <w:rFonts w:ascii="Courier New" w:cs="Courier New" w:eastAsia="Courier New" w:hAnsi="Courier New"/>
                <w:color w:val="1a1a2e"/>
                <w:sz w:val="16"/>
                <w:szCs w:val="16"/>
              </w:rPr>
              <w:t xml:space="preserve">  3. iTarang Signatory 2</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agreement_status ENUM (shared with dealer agreements):</w:t>
            </w:r>
          </w:p>
          <w:p>
            <w:pPr>
              <w:spacing w:after="18" w:before="18"/>
            </w:pPr>
            <w:r>
              <w:rPr>
                <w:rFonts w:ascii="Courier New" w:cs="Courier New" w:eastAsia="Courier New" w:hAnsi="Courier New"/>
                <w:color w:val="1a1a2e"/>
                <w:sz w:val="16"/>
                <w:szCs w:val="16"/>
              </w:rPr>
              <w:t xml:space="preserve">  SENT_TO_EXTERNAL_PARTY → SIGN_PENDING → PARTIALLY_SIGNED</w:t>
            </w:r>
          </w:p>
          <w:p>
            <w:pPr>
              <w:spacing w:after="18" w:before="18"/>
            </w:pPr>
            <w:r>
              <w:rPr>
                <w:rFonts w:ascii="Courier New" w:cs="Courier New" w:eastAsia="Courier New" w:hAnsi="Courier New"/>
                <w:color w:val="1a1a2e"/>
                <w:sz w:val="16"/>
                <w:szCs w:val="16"/>
              </w:rPr>
              <w:t xml:space="preserve">  → SIGNED → COMPLETED → FAILED | EXPIRED</w:t>
            </w:r>
          </w:p>
        </w:tc>
      </w:tr>
    </w:tbl>
    <w:p>
      <w:pPr>
        <w:spacing w:after="0" w:before="80"/>
      </w:pPr>
      <w:r>
        <w:t xml:space="preserve"/>
      </w:r>
    </w:p>
    <w:p>
      <w:pPr>
        <w:pStyle w:val="Heading3"/>
        <w:spacing w:after="80" w:before="200"/>
      </w:pPr>
      <w:r>
        <w:rPr>
          <w:rFonts w:ascii="Arial" w:cs="Arial" w:eastAsia="Arial" w:hAnsi="Arial"/>
          <w:b/>
          <w:bCs/>
          <w:color w:val="138fc6"/>
          <w:sz w:val="24"/>
          <w:szCs w:val="24"/>
        </w:rPr>
        <w:t xml:space="preserve">nbfc_lsp_agreements schema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agreement_id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AGR-NBFC-YYYYMMDD-SEQ</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references nbfc.id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digio_document_id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Returned from Digio create_sign_request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agreement_status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SENT_TO_EXTERNAL_PARTY|SIGN_PENDING|PARTIALLY_SIGNED|SIGNED|COMPLETED|FAILED|EXPIRED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signing_date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itarang_signatory_1_name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itarang_signatory_1_email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itarang_signatory_2_name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itarang_signatory_2_email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nbfc_signatory_name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nbfc_signatory_email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signed_pdf_url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 path: s3://bucket/nbfc/{nbfcId}/lsp-agreements/{id}_signed.pdf</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audit_trail_url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Digio audit trail PDF. Fetched on COMPLETED.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expires_at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 + 5 days (configurable)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6.0.6 NBFC Status Lifecycle (Revised — Sync Audit G-02)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B45309"/>
                <w:sz w:val="20"/>
                <w:szCs w:val="20"/>
              </w:rPr>
              <w:t xml:space="preserve">Correction from Sync Audit G-02</w:t>
            </w:r>
          </w:p>
          <w:p>
            <w:pPr>
              <w:spacing w:before="60"/>
            </w:pPr>
            <w:r>
              <w:rPr>
                <w:rFonts w:ascii="Arial" w:cs="Arial" w:eastAsia="Arial" w:hAnsi="Arial"/>
                <w:sz w:val="19"/>
                <w:szCs w:val="19"/>
              </w:rPr>
              <w:t xml:space="preserve">The original 8-state lifecycle had 'documents_pending' and 'pending_review' as separate states with no equivalents in the dealer onboarding pattern. These are merged into 'pending_admin_review' to align with the platform-wide onboarding status pattern from V2-24th-Feb-2.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1800"/>
        <w:gridCol w:w="28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Triggered By</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Maps to V2-24th-Feb-2</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creates record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visible to NBFC. Admin building record.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pending_admin_review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submits for review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Admin Review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docs + LSP agreement under review. Unified with dealer pattern.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request_correction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Reviewer flags issues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Correction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to NBFC primary contact. Form editable by admin.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docs verified + LSP COMPLETED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credentials generated. NBFC activated.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active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NBFC portal login done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post-approval)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Fully operational. Visible in loan sanction dropdown.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rejected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rejects application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Non-reversible. iTarang Sales Manager notified.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suspended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 action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hidden from new deals. Existing loans unaffected.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terminated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Partnership ended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Permanent. All active leads must be reassigned or closed.</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6.0.7 Database Schema — NBFC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NBFC-XXXXXXXX. System-generated on creation.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registered legal name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in dealer dropdown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rbi_registration_no</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CoR number. Validated.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gst_number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nbfc_type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'nbfc_icc'|'nbfc_mfi'|'nbfc_factor'|'hfc'|'scheduled_bank'|'cooperative_bank'|'other'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registered_address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{line1,line2,city,district,state,pin}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active_geographies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 of state codes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primary_contact_name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primary_contact_email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Portal credentials sent here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primary_contact_phone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grievance_officer_name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mandatory</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grievance_helpline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mandatory — in all borrower comms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grievance_url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RBI mandatory — in all borrower notices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cor_expiry_date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 expiry. Alert at 60 days.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partnership_date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lsp_agreement_id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FK → nbfc_lsp_agreements.id. Set on LSP Agreement COMPLETED. Enables loan_sanctions → lsp_agreement audit link.</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'draft'|'pending_admin_review'|'request_correction'|'approved'|'active'|'rejected'|'suspended'|'terminated'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6.0.8 New Table — dealer_nbfc_assignments (Sync Audit G-05)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B45309"/>
                <w:sz w:val="20"/>
                <w:szCs w:val="20"/>
              </w:rPr>
              <w:t xml:space="preserve">Correction from Sync Audit G-05</w:t>
            </w:r>
          </w:p>
          <w:p>
            <w:pPr>
              <w:spacing w:before="60"/>
            </w:pPr>
            <w:r>
              <w:rPr>
                <w:rFonts w:ascii="Arial" w:cs="Arial" w:eastAsia="Arial" w:hAnsi="Arial"/>
                <w:sz w:val="19"/>
                <w:szCs w:val="19"/>
              </w:rPr>
              <w:t xml:space="preserve">Finance-enabled dealers had no link to specific NBFCs. A dealer could be finance-enabled but the loan sanction dropdown would show no lenders. This junction table links finance-enabled dealers to their approved NBFCs. Only NBFCs in this table appear in a given dealer's loan sanction dropdown.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references dealers.id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references nbfc.id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When iTarang admin linked this dealer to this NBFC</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'active'|'suspended'|'terminated'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reason or terms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(dealer_id, nbfc_id)</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row per dealer-NBFC pair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Loan sanction dropdown — what admin sees when sanctioning a loan:</w:t>
            </w:r>
          </w:p>
          <w:p>
            <w:pPr>
              <w:spacing w:after="18" w:before="18"/>
            </w:pPr>
            <w:r>
              <w:rPr>
                <w:rFonts w:ascii="Courier New" w:cs="Courier New" w:eastAsia="Courier New" w:hAnsi="Courier New"/>
                <w:color w:val="1a1a2e"/>
                <w:sz w:val="16"/>
                <w:szCs w:val="16"/>
              </w:rPr>
              <w:t xml:space="preserve">GET /api/admin/dealers/:dealerId/assigned-nbfcs?status=active</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Response: [{ nbfcId, shortName, legalName, activeLoanProducts: [...]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Only NBFCs in dealer_nbfc_assignments for this dealer appear.</w:t>
            </w:r>
          </w:p>
          <w:p>
            <w:pPr>
              <w:spacing w:after="18" w:before="18"/>
            </w:pPr>
            <w:r>
              <w:rPr>
                <w:rFonts w:ascii="Courier New" w:cs="Courier New" w:eastAsia="Courier New" w:hAnsi="Courier New"/>
                <w:color w:val="1a1a2e"/>
                <w:sz w:val="16"/>
                <w:szCs w:val="16"/>
              </w:rPr>
              <w:t xml:space="preserve">// Prevents admin entering a lender with no agreement with this dealer.</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CRM — Section 6.1</w:t>
            </w:r>
          </w:p>
          <w:p>
            <w:pPr>
              <w:jc w:val="center"/>
            </w:pPr>
            <w:r>
              <w:rPr>
                <w:rFonts w:ascii="Arial" w:cs="Arial" w:eastAsia="Arial" w:hAnsi="Arial"/>
                <w:b/>
                <w:bCs/>
                <w:color w:val="FFFFFF"/>
                <w:sz w:val="34"/>
                <w:szCs w:val="34"/>
              </w:rPr>
              <w:t xml:space="preserve">NBFC Portal (Landing Dashboard)</w:t>
            </w:r>
          </w:p>
          <w:p>
            <w:pPr>
              <w:jc w:val="center"/>
            </w:pPr>
            <w:r>
              <w:rPr>
                <w:rFonts w:ascii="Arial" w:cs="Arial" w:eastAsia="Arial" w:hAnsi="Arial"/>
                <w:color w:val="F4F7FA"/>
                <w:sz w:val="18"/>
                <w:szCs w:val="18"/>
              </w:rPr>
              <w:t xml:space="preserve">Portfolio View · Lead Intelligence · Battery Risk Monitoring · CDS &amp; PCI Scoring · Recovery &amp; Auction</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6.1.1 OVERVIEW</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The NBFC Portal is the dedicated web interface for lending partners. Each NBFC sees only their own portfolio — no cross-NBFC data leakage. The portal gives the NBFC visibility into loan performance, battery health, borrower risk, and recovery assets without needing to contact iTarang for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rFonts w:ascii="Arial" w:cs="Arial" w:eastAsia="Arial" w:hAnsi="Arial"/>
                <w:b/>
                <w:bCs/>
                <w:color w:val="C0392B"/>
                <w:sz w:val="20"/>
                <w:szCs w:val="20"/>
              </w:rPr>
              <w:t xml:space="preserve">Data Isolation</w:t>
            </w:r>
          </w:p>
          <w:p>
            <w:pPr>
              <w:spacing w:before="60"/>
            </w:pPr>
            <w:r>
              <w:rPr>
                <w:rFonts w:ascii="Arial" w:cs="Arial" w:eastAsia="Arial" w:hAnsi="Arial"/>
                <w:sz w:val="19"/>
                <w:szCs w:val="19"/>
              </w:rPr>
              <w:t xml:space="preserve">NBFC portal users can only access leads, loans, and battery telemetry linked to their NBFC ID. API middleware enforces: WHERE nbfc_id = token.nbfc_id on every query. Attempting to access another NBFC's data returns 403 Forbidden and logs to security_audit_log.</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6.1.2 NBFC Portal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Sidebar Item</w:t>
            </w:r>
          </w:p>
        </w:tc>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Portfolio Overview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Summary cards: Total Active Loans, Portfolio Value (₹), Avg EMI, Delinquency Rate (%), Disbursement This Month (₹). Cross-time charts.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Lead Intelligence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Leads referred via iTarang. Status tracking: KYC → Sanctioned → Disbursed → Active → Closed. Filter by status, geography, product, date.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Battery Monitoring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view of all batteries in their portfolio. SOH trend, SOC, GPS, charge cycles, usage patterns. CDS and PCI scores per borrower.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Risk Alerts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Actionable alerts: EMI overdue, usage drop, offline battery, geo-shift. Each with recommended action and dual-approval gate where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Recovery &amp; Auction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Recovered batteries pipeline. Evaluation status. Live auction lots. Bidding interface. Post-auction settlement.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Audit Log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Immutable log of all NBFC-side actions. Filter by action type, date, user.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Settings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user management (add/remove portal users), notification preferences, report subscriptions.</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6.1.3 Portfolio Overview</w:t>
      </w:r>
    </w:p>
    <w:p>
      <w:pPr>
        <w:pStyle w:val="Heading3"/>
        <w:spacing w:after="80" w:before="200"/>
      </w:pPr>
      <w:r>
        <w:rPr>
          <w:rFonts w:ascii="Arial" w:cs="Arial" w:eastAsia="Arial" w:hAnsi="Arial"/>
          <w:b/>
          <w:bCs/>
          <w:color w:val="138fc6"/>
          <w:sz w:val="24"/>
          <w:szCs w:val="24"/>
        </w:rPr>
        <w:t xml:space="preserve">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&amp; Source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Active Loans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COUNT(loan_sanctions) WHERE nbfc_id = X AND status = 'disbursed' AND closed_at IS NULL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Portfolio Value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SUM(loan_amount) for active loans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Disbursement This Month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SUM(disbursement_amount) WHERE disbursed_at in current calendar month</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Delinquency Rate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(Overdue loans / Total active loans) × 100. Overdue = any EMI overdue &gt; 30 days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 Portfolio CDS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AVG(cds_score) across all active borrowers in portfolio. Refreshed daily.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Recovery Value Locked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SUM(estimated_recovery_value) of batteries in recovery pipeline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B45309"/>
                <w:sz w:val="20"/>
                <w:szCs w:val="20"/>
              </w:rPr>
              <w:t xml:space="preserve">Data Freshness Badge</w:t>
            </w:r>
          </w:p>
          <w:p>
            <w:pPr>
              <w:spacing w:before="60"/>
            </w:pPr>
            <w:r>
              <w:rPr>
                <w:rFonts w:ascii="Arial" w:cs="Arial" w:eastAsia="Arial" w:hAnsi="Arial"/>
                <w:sz w:val="19"/>
                <w:szCs w:val="19"/>
              </w:rPr>
              <w:t xml:space="preserve">Every computed metric card shows a data freshness badge: 'Last updated: Today, 06:00 AM IST'. CDS and PCI are computed nightly. SOC and telemetry data is near-real-time (15-minute ingestion lag). If data is stale &gt;24h, badge turns amber: 'Data may be outdated — IoT sync issue'.</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6.1.4 Lead Intelligence</w:t>
      </w:r>
    </w:p>
    <w:p>
      <w:pPr>
        <w:spacing w:after="60" w:before="60"/>
      </w:pPr>
      <w:r>
        <w:rPr>
          <w:rFonts w:ascii="Arial" w:cs="Arial" w:eastAsia="Arial" w:hAnsi="Arial"/>
          <w:b w:val="false"/>
          <w:bCs w:val="false"/>
          <w:color w:val="000000"/>
          <w:sz w:val="20"/>
          <w:szCs w:val="20"/>
        </w:rPr>
        <w:t xml:space="preserve">Shows all leads associated with this NBFC. A lead appears here when admin selects this NBFC in the Loan Sanctioned form (Section 3.2.2). Read-only for NBFC — they cannot modify leads.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 Reference ID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leads.reference_id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Clickable — opens lead detail modal (read-only).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leads.full_name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dealers.name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Serial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inventory.serial_number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Links to battery monitoring card.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 Amount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loan_sanctions.loan_amount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 File No.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loan_sanctions.loan_file_number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NBFC's own reference number.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loan_sanctions.status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Sanctioned | Dealer Approved | Disbursed | Active | Closed | Overdue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CDS Score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Computed nightly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Colour: green (&lt;40) | amber (40–70) | red (&gt;70)</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EMI Status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 due date + days overdue if any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Overdue shown in red</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6.1.5 Battery Risk Monitoring — CDS &amp; PCI</w:t>
      </w:r>
    </w:p>
    <w:p>
      <w:pPr>
        <w:pStyle w:val="Heading3"/>
        <w:spacing w:after="80" w:before="200"/>
      </w:pPr>
      <w:r>
        <w:rPr>
          <w:rFonts w:ascii="Arial" w:cs="Arial" w:eastAsia="Arial" w:hAnsi="Arial"/>
          <w:b/>
          <w:bCs/>
          <w:color w:val="138fc6"/>
          <w:sz w:val="24"/>
          <w:szCs w:val="24"/>
        </w:rPr>
        <w:t xml:space="preserve">Credit Default Score (CDS)</w:t>
      </w:r>
    </w:p>
    <w:p>
      <w:pPr>
        <w:spacing w:after="60" w:before="60"/>
      </w:pPr>
      <w:r>
        <w:rPr>
          <w:rFonts w:ascii="Arial" w:cs="Arial" w:eastAsia="Arial" w:hAnsi="Arial"/>
          <w:b w:val="false"/>
          <w:bCs w:val="false"/>
          <w:color w:val="000000"/>
          <w:sz w:val="20"/>
          <w:szCs w:val="20"/>
        </w:rPr>
        <w:t xml:space="preserve">CDS is a computed risk metric ranging 0–100 that indicates the probability of EMI default for a given borrower. Higher score = higher risk.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CDS Formula (computed nightly, stored in borrower_risk_scores)</w:t>
            </w:r>
          </w:p>
          <w:p>
            <w:pPr>
              <w:spacing w:after="18" w:before="18"/>
            </w:pPr>
            <w:r>
              <w:rPr>
                <w:rFonts w:ascii="Courier New" w:cs="Courier New" w:eastAsia="Courier New" w:hAnsi="Courier New"/>
                <w:color w:val="1a1a2e"/>
                <w:sz w:val="16"/>
                <w:szCs w:val="16"/>
              </w:rPr>
              <w:t xml:space="preserve">CDS = Σ(EMI_weight × recency_multiplier) + consecutive_default_penalty</w:t>
            </w:r>
          </w:p>
          <w:p>
            <w:pPr>
              <w:spacing w:after="18" w:before="18"/>
            </w:pPr>
            <w:r>
              <w:rPr>
                <w:rFonts w:ascii="Courier New" w:cs="Courier New" w:eastAsia="Courier New" w:hAnsi="Courier New"/>
                <w:color w:val="1a1a2e"/>
                <w:sz w:val="16"/>
                <w:szCs w:val="16"/>
              </w:rPr>
              <w:t xml:space="preserve">      normalized to 0–100</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Inputs per borrower:</w:t>
            </w:r>
          </w:p>
          <w:p>
            <w:pPr>
              <w:spacing w:after="18" w:before="18"/>
            </w:pPr>
            <w:r>
              <w:rPr>
                <w:rFonts w:ascii="Courier New" w:cs="Courier New" w:eastAsia="Courier New" w:hAnsi="Courier New"/>
                <w:color w:val="1a1a2e"/>
                <w:sz w:val="16"/>
                <w:szCs w:val="16"/>
              </w:rPr>
              <w:t xml:space="preserve">// - Last 6 EMI payment records (paid / overdue / skipped)</w:t>
            </w:r>
          </w:p>
          <w:p>
            <w:pPr>
              <w:spacing w:after="18" w:before="18"/>
            </w:pPr>
            <w:r>
              <w:rPr>
                <w:rFonts w:ascii="Courier New" w:cs="Courier New" w:eastAsia="Courier New" w:hAnsi="Courier New"/>
                <w:color w:val="1a1a2e"/>
                <w:sz w:val="16"/>
                <w:szCs w:val="16"/>
              </w:rPr>
              <w:t xml:space="preserve">// - Days overdue on each</w:t>
            </w:r>
          </w:p>
          <w:p>
            <w:pPr>
              <w:spacing w:after="18" w:before="18"/>
            </w:pPr>
            <w:r>
              <w:rPr>
                <w:rFonts w:ascii="Courier New" w:cs="Courier New" w:eastAsia="Courier New" w:hAnsi="Courier New"/>
                <w:color w:val="1a1a2e"/>
                <w:sz w:val="16"/>
                <w:szCs w:val="16"/>
              </w:rPr>
              <w:t xml:space="preserve">// - Consecutive default streak</w:t>
            </w:r>
          </w:p>
          <w:p>
            <w:pPr>
              <w:spacing w:after="18" w:before="18"/>
            </w:pPr>
            <w:r>
              <w:rPr>
                <w:rFonts w:ascii="Courier New" w:cs="Courier New" w:eastAsia="Courier New" w:hAnsi="Courier New"/>
                <w:color w:val="1a1a2e"/>
                <w:sz w:val="16"/>
                <w:szCs w:val="16"/>
              </w:rPr>
              <w:t xml:space="preserve">// - Usage pattern trend (declining usage = +risk)</w:t>
            </w:r>
          </w:p>
          <w:p>
            <w:pPr>
              <w:spacing w:after="18" w:before="18"/>
            </w:pPr>
            <w:r>
              <w:rPr>
                <w:rFonts w:ascii="Courier New" w:cs="Courier New" w:eastAsia="Courier New" w:hAnsi="Courier New"/>
                <w:color w:val="1a1a2e"/>
                <w:sz w:val="16"/>
                <w:szCs w:val="16"/>
              </w:rPr>
              <w:t xml:space="preserve">// - Battery offline duration trend</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Confidence levels:</w:t>
            </w:r>
          </w:p>
          <w:p>
            <w:pPr>
              <w:spacing w:after="18" w:before="18"/>
            </w:pPr>
            <w:r>
              <w:rPr>
                <w:rFonts w:ascii="Courier New" w:cs="Courier New" w:eastAsia="Courier New" w:hAnsi="Courier New"/>
                <w:color w:val="1a1a2e"/>
                <w:sz w:val="16"/>
                <w:szCs w:val="16"/>
              </w:rPr>
              <w:t xml:space="preserve">// HIGH: ≥ 6 EMI records, IoT data fresh</w:t>
            </w:r>
          </w:p>
          <w:p>
            <w:pPr>
              <w:spacing w:after="18" w:before="18"/>
            </w:pPr>
            <w:r>
              <w:rPr>
                <w:rFonts w:ascii="Courier New" w:cs="Courier New" w:eastAsia="Courier New" w:hAnsi="Courier New"/>
                <w:color w:val="1a1a2e"/>
                <w:sz w:val="16"/>
                <w:szCs w:val="16"/>
              </w:rPr>
              <w:t xml:space="preserve">// MEDIUM: 3–5 EMI records OR IoT data &gt;12h stale</w:t>
            </w:r>
          </w:p>
          <w:p>
            <w:pPr>
              <w:spacing w:after="18" w:before="18"/>
            </w:pPr>
            <w:r>
              <w:rPr>
                <w:rFonts w:ascii="Courier New" w:cs="Courier New" w:eastAsia="Courier New" w:hAnsi="Courier New"/>
                <w:color w:val="1a1a2e"/>
                <w:sz w:val="16"/>
                <w:szCs w:val="16"/>
              </w:rPr>
              <w:t xml:space="preserve">// LOW: &lt; 3 EMI records OR recent restructuring OR force majeure flag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5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CDS Band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 Action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39</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action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 – 69</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alert generated. NBFC notified. Review recommended.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 – 84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escalated. Field visit recommended. Risk Officer review.</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 – 100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Very High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Dual-approval gate for any action. Immobilisation may be requested.</w:t>
            </w:r>
          </w:p>
        </w:tc>
      </w:tr>
    </w:tbl>
    <w:p>
      <w:pPr>
        <w:spacing w:after="0" w:before="80"/>
      </w:pPr>
      <w:r>
        <w:t xml:space="preserve"/>
      </w:r>
    </w:p>
    <w:p>
      <w:pPr>
        <w:pStyle w:val="Heading3"/>
        <w:spacing w:after="80" w:before="200"/>
      </w:pPr>
      <w:r>
        <w:rPr>
          <w:rFonts w:ascii="Arial" w:cs="Arial" w:eastAsia="Arial" w:hAnsi="Arial"/>
          <w:b/>
          <w:bCs/>
          <w:color w:val="138fc6"/>
          <w:sz w:val="24"/>
          <w:szCs w:val="24"/>
        </w:rPr>
        <w:t xml:space="preserve">Payment Consistency Index (PCI)</w:t>
      </w:r>
    </w:p>
    <w:p>
      <w:pPr>
        <w:spacing w:after="60" w:before="60"/>
      </w:pPr>
      <w:r>
        <w:rPr>
          <w:rFonts w:ascii="Arial" w:cs="Arial" w:eastAsia="Arial" w:hAnsi="Arial"/>
          <w:b w:val="false"/>
          <w:bCs w:val="false"/>
          <w:color w:val="000000"/>
          <w:sz w:val="20"/>
          <w:szCs w:val="20"/>
        </w:rPr>
        <w:t xml:space="preserve">PCI ranges 0.0–1.0. Higher = more consistent EMI payer. Inverse of CDS risk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PCI Formula</w:t>
            </w:r>
          </w:p>
          <w:p>
            <w:pPr>
              <w:spacing w:after="18" w:before="18"/>
            </w:pPr>
            <w:r>
              <w:rPr>
                <w:rFonts w:ascii="Courier New" w:cs="Courier New" w:eastAsia="Courier New" w:hAnsi="Courier New"/>
                <w:color w:val="1a1a2e"/>
                <w:sz w:val="16"/>
                <w:szCs w:val="16"/>
              </w:rPr>
              <w:t xml:space="preserve">PCI = Σ(EMI_score × weight) / Σ(weights)</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EMI_score: 1.0 = paid on time, 0.5 = paid late (&lt;7d), 0.0 = missed</w:t>
            </w:r>
          </w:p>
          <w:p>
            <w:pPr>
              <w:spacing w:after="18" w:before="18"/>
            </w:pPr>
            <w:r>
              <w:rPr>
                <w:rFonts w:ascii="Courier New" w:cs="Courier New" w:eastAsia="Courier New" w:hAnsi="Courier New"/>
                <w:color w:val="1a1a2e"/>
                <w:sz w:val="16"/>
                <w:szCs w:val="16"/>
              </w:rPr>
              <w:t xml:space="preserve">// weight: more recent EMIs weighted higher</w:t>
            </w:r>
          </w:p>
          <w:p>
            <w:pPr>
              <w:spacing w:after="18" w:before="18"/>
            </w:pPr>
            <w:r>
              <w:rPr>
                <w:rFonts w:ascii="Courier New" w:cs="Courier New" w:eastAsia="Courier New" w:hAnsi="Courier New"/>
                <w:color w:val="1a1a2e"/>
                <w:sz w:val="16"/>
                <w:szCs w:val="16"/>
              </w:rPr>
              <w:t xml:space="preserve">// Output: 0.0 (worst) to 1.0 (perfect)</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PCI &lt; 0.40: High concern — triggers alert</w:t>
            </w:r>
          </w:p>
          <w:p>
            <w:pPr>
              <w:spacing w:after="18" w:before="18"/>
            </w:pPr>
            <w:r>
              <w:rPr>
                <w:rFonts w:ascii="Courier New" w:cs="Courier New" w:eastAsia="Courier New" w:hAnsi="Courier New"/>
                <w:color w:val="1a1a2e"/>
                <w:sz w:val="16"/>
                <w:szCs w:val="16"/>
              </w:rPr>
              <w:t xml:space="preserve">// PCI 0.40 – 0.75: Monitoring zone</w:t>
            </w:r>
          </w:p>
          <w:p>
            <w:pPr>
              <w:spacing w:after="18" w:before="18"/>
            </w:pPr>
            <w:r>
              <w:rPr>
                <w:rFonts w:ascii="Courier New" w:cs="Courier New" w:eastAsia="Courier New" w:hAnsi="Courier New"/>
                <w:color w:val="1a1a2e"/>
                <w:sz w:val="16"/>
                <w:szCs w:val="16"/>
              </w:rPr>
              <w:t xml:space="preserve">// PCI &gt; 0.75: Healthy payer</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6.1.6 Risk Action Framework</w:t>
      </w:r>
    </w:p>
    <w:p>
      <w:pPr>
        <w:spacing w:after="60" w:before="60"/>
      </w:pPr>
      <w:r>
        <w:rPr>
          <w:rFonts w:ascii="Arial" w:cs="Arial" w:eastAsia="Arial" w:hAnsi="Arial"/>
          <w:b w:val="false"/>
          <w:bCs w:val="false"/>
          <w:color w:val="000000"/>
          <w:sz w:val="20"/>
          <w:szCs w:val="20"/>
        </w:rPr>
        <w:t xml:space="preserve">Every NBFC-initiated action on a borrower account follows the Evidence → Decision → Action → Audit chain. Actions are tiered by impact: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2000"/>
        <w:gridCol w:w="24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Approval Required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Reversible?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Log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Payment Reminder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 NBFC User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auto</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Field Visit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 NBFC Manager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manual reason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Immobilisation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Dual — Risk Head + Ops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re-mobilisation after EMI settlement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full borrower notice preview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for Loan Restructuring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Dual — Risk Head + Credit Manager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Depends on terms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before/after terms logged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Flag for Recovery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 Risk Head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 permanent flag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rFonts w:ascii="Arial" w:cs="Arial" w:eastAsia="Arial" w:hAnsi="Arial"/>
                <w:b/>
                <w:bCs/>
                <w:color w:val="C0392B"/>
                <w:sz w:val="20"/>
                <w:szCs w:val="20"/>
              </w:rPr>
              <w:t xml:space="preserve">Immobilisation — Borrower Notice Mandatory</w:t>
            </w:r>
          </w:p>
          <w:p>
            <w:pPr>
              <w:spacing w:before="60"/>
            </w:pPr>
            <w:r>
              <w:rPr>
                <w:rFonts w:ascii="Arial" w:cs="Arial" w:eastAsia="Arial" w:hAnsi="Arial"/>
                <w:sz w:val="19"/>
                <w:szCs w:val="19"/>
              </w:rPr>
              <w:t xml:space="preserve">Before any immobilisation request can be submitted, the NBFC portal must show a Borrower Notice Preview. The notice must include: (1) Lender identity (NBFC legal name), (2) LSP identity (iTarang Battery Solutions), (3) Outstanding amount + restoration steps, (4) Grievance channel URL + helpline, (5) Plain, non-coercive language. Admin must check 'I confirm the notice is accurate' before proceeding. Per RBI Digital Lending Directions 2025.</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6.1.7 Recovery &amp; Auction</w:t>
      </w:r>
    </w:p>
    <w:p>
      <w:pPr>
        <w:pStyle w:val="Heading3"/>
        <w:spacing w:after="80" w:before="200"/>
      </w:pPr>
      <w:r>
        <w:rPr>
          <w:rFonts w:ascii="Arial" w:cs="Arial" w:eastAsia="Arial" w:hAnsi="Arial"/>
          <w:b/>
          <w:bCs/>
          <w:color w:val="138fc6"/>
          <w:sz w:val="24"/>
          <w:szCs w:val="24"/>
        </w:rPr>
        <w:t xml:space="preserve">Recovery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Needs Inspection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physically recovered from borrower. Condition not yet assessed.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Refurbishable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Inspection complete. SOH &gt; 70%. Worth refurbishing for resale.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Scrap</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SOH &lt; 55% or physical damage beyond repair. Scrap value only.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Ready for Auction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Refurb complete. Listed in auction marketplace.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Auction won and settled. Revenue logged.</w:t>
            </w:r>
          </w:p>
        </w:tc>
      </w:tr>
    </w:tbl>
    <w:p>
      <w:pPr>
        <w:spacing w:after="0" w:before="80"/>
      </w:pPr>
      <w:r>
        <w:t xml:space="preserve"/>
      </w:r>
    </w:p>
    <w:p>
      <w:pPr>
        <w:pStyle w:val="Heading3"/>
        <w:spacing w:after="80" w:before="200"/>
      </w:pPr>
      <w:r>
        <w:rPr>
          <w:rFonts w:ascii="Arial" w:cs="Arial" w:eastAsia="Arial" w:hAnsi="Arial"/>
          <w:b/>
          <w:bCs/>
          <w:color w:val="138fc6"/>
          <w:sz w:val="24"/>
          <w:szCs w:val="24"/>
        </w:rPr>
        <w:t xml:space="preserve">Battery Evaluation (3-Step Form)</w:t>
      </w:r>
    </w:p>
    <w:p>
      <w:pPr>
        <w:pStyle w:val="ListParagraph"/>
        <w:numPr>
          <w:ilvl w:val="0"/>
          <w:numId w:val="2"/>
        </w:numPr>
        <w:spacing w:after="40" w:before="40"/>
      </w:pPr>
      <w:r>
        <w:rPr>
          <w:rFonts w:ascii="Arial" w:cs="Arial" w:eastAsia="Arial" w:hAnsi="Arial"/>
          <w:sz w:val="20"/>
          <w:szCs w:val="20"/>
        </w:rPr>
        <w:t xml:space="preserve">Step 1 — Technical: SOH %, physical condition (Good/Fair/Poor), manufacturing date, IoT status, BMS health, charger type</w:t>
      </w:r>
    </w:p>
    <w:p>
      <w:pPr>
        <w:pStyle w:val="ListParagraph"/>
        <w:numPr>
          <w:ilvl w:val="0"/>
          <w:numId w:val="2"/>
        </w:numPr>
        <w:spacing w:after="40" w:before="40"/>
      </w:pPr>
      <w:r>
        <w:rPr>
          <w:rFonts w:ascii="Arial" w:cs="Arial" w:eastAsia="Arial" w:hAnsi="Arial"/>
          <w:sz w:val="20"/>
          <w:szCs w:val="20"/>
        </w:rPr>
        <w:t xml:space="preserve">Step 2 — Refurbishment Analysis: Minor Repair | Cell Replacement | Scrap, estimated cost, checklist (terminal cleaning, software recalibration, warranty reset)</w:t>
      </w:r>
    </w:p>
    <w:p>
      <w:pPr>
        <w:pStyle w:val="ListParagraph"/>
        <w:numPr>
          <w:ilvl w:val="0"/>
          <w:numId w:val="2"/>
        </w:numPr>
        <w:spacing w:after="40" w:before="40"/>
      </w:pPr>
      <w:r>
        <w:rPr>
          <w:rFonts w:ascii="Arial" w:cs="Arial" w:eastAsia="Arial" w:hAnsi="Arial"/>
          <w:sz w:val="20"/>
          <w:szCs w:val="20"/>
        </w:rPr>
        <w:t xml:space="preserve">Step 3 — Pricing: Original value · Refurb cost · Auto-computed base auction price (&gt;85% SOH = 65–70% of original; 70–85% = 50–65%; &lt;70% = 30–50% or reject)</w:t>
      </w:r>
    </w:p>
    <w:p>
      <w:pPr>
        <w:spacing w:after="0" w:before="80"/>
      </w:pPr>
      <w:r>
        <w:t xml:space="preserve"/>
      </w:r>
    </w:p>
    <w:p>
      <w:pPr>
        <w:pStyle w:val="Heading3"/>
        <w:spacing w:after="80" w:before="200"/>
      </w:pPr>
      <w:r>
        <w:rPr>
          <w:rFonts w:ascii="Arial" w:cs="Arial" w:eastAsia="Arial" w:hAnsi="Arial"/>
          <w:b/>
          <w:bCs/>
          <w:color w:val="138fc6"/>
          <w:sz w:val="24"/>
          <w:szCs w:val="24"/>
        </w:rPr>
        <w:t xml:space="preserve">Auction Marketplace</w:t>
      </w:r>
    </w:p>
    <w:p>
      <w:pPr>
        <w:pStyle w:val="ListParagraph"/>
        <w:numPr>
          <w:ilvl w:val="0"/>
          <w:numId w:val="2"/>
        </w:numPr>
        <w:spacing w:after="40" w:before="40"/>
      </w:pPr>
      <w:r>
        <w:rPr>
          <w:rFonts w:ascii="Arial" w:cs="Arial" w:eastAsia="Arial" w:hAnsi="Arial"/>
          <w:sz w:val="20"/>
          <w:szCs w:val="20"/>
        </w:rPr>
        <w:t xml:space="preserve">Lot cards: Lot ID, capacity, avg SOH, age, quantity, base price, current bid, bidder count, live countdown timer</w:t>
      </w:r>
    </w:p>
    <w:p>
      <w:pPr>
        <w:pStyle w:val="ListParagraph"/>
        <w:numPr>
          <w:ilvl w:val="0"/>
          <w:numId w:val="2"/>
        </w:numPr>
        <w:spacing w:after="40" w:before="40"/>
      </w:pPr>
      <w:r>
        <w:rPr>
          <w:rFonts w:ascii="Arial" w:cs="Arial" w:eastAsia="Arial" w:hAnsi="Arial"/>
          <w:sz w:val="20"/>
          <w:szCs w:val="20"/>
        </w:rPr>
        <w:t xml:space="preserve">Bidding modal: current highest bid, your last bid status, live countdown (HH:MM:SS), min-next-bid validation, Place Bid / Auto-Bid / Exit</w:t>
      </w:r>
    </w:p>
    <w:p>
      <w:pPr>
        <w:pStyle w:val="ListParagraph"/>
        <w:numPr>
          <w:ilvl w:val="0"/>
          <w:numId w:val="2"/>
        </w:numPr>
        <w:spacing w:after="40" w:before="40"/>
      </w:pPr>
      <w:r>
        <w:rPr>
          <w:rFonts w:ascii="Arial" w:cs="Arial" w:eastAsia="Arial" w:hAnsi="Arial"/>
          <w:sz w:val="20"/>
          <w:szCs w:val="20"/>
        </w:rPr>
        <w:t xml:space="preserve">Every bid placement triggers confirmation modal: 'Confirm bid of ₹X? This is binding.' — logged to audit</w:t>
      </w:r>
    </w:p>
    <w:p>
      <w:pPr>
        <w:pStyle w:val="ListParagraph"/>
        <w:numPr>
          <w:ilvl w:val="0"/>
          <w:numId w:val="2"/>
        </w:numPr>
        <w:spacing w:after="40" w:before="40"/>
      </w:pPr>
      <w:r>
        <w:rPr>
          <w:rFonts w:ascii="Arial" w:cs="Arial" w:eastAsia="Arial" w:hAnsi="Arial"/>
          <w:sz w:val="20"/>
          <w:szCs w:val="20"/>
        </w:rPr>
        <w:t xml:space="preserve">Post-auction settlement table: Lot ID · Final Price · Winner · Status (Delivered / In Transit / Payment Pending)</w:t>
      </w:r>
    </w:p>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CRM — Section 6.2</w:t>
            </w:r>
          </w:p>
          <w:p>
            <w:pPr>
              <w:jc w:val="center"/>
            </w:pPr>
            <w:r>
              <w:rPr>
                <w:rFonts w:ascii="Arial" w:cs="Arial" w:eastAsia="Arial" w:hAnsi="Arial"/>
                <w:b/>
                <w:bCs/>
                <w:color w:val="FFFFFF"/>
                <w:sz w:val="34"/>
                <w:szCs w:val="34"/>
              </w:rPr>
              <w:t xml:space="preserve">Telemetry Ingestion</w:t>
            </w:r>
          </w:p>
          <w:p>
            <w:pPr>
              <w:jc w:val="center"/>
            </w:pPr>
            <w:r>
              <w:rPr>
                <w:rFonts w:ascii="Arial" w:cs="Arial" w:eastAsia="Arial" w:hAnsi="Arial"/>
                <w:color w:val="F4F7FA"/>
                <w:sz w:val="18"/>
                <w:szCs w:val="18"/>
              </w:rPr>
              <w:t xml:space="preserve">IoT Data Pipeline · Device Registration · Ingestion API · Storage · Freshness Rules · SOC &amp; SOH</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6.2.1 OVERVIEW</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Every IoT-enabled battery (iot_enabled = true in the inventory table) transmits operational data — state of charge, state of health, GPS location, charge/discharge cycles, and usage patterns — to the iTarang telemetry backend. This section defines how that data flows in, is validated, stored, and served to the CRM surfaces that consume it (Step 4 SOC display, NBFC battery monitoring, admin dashboards, CDS scoring).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38fc6"/>
                <w:sz w:val="20"/>
                <w:szCs w:val="20"/>
              </w:rPr>
              <w:t xml:space="preserve">Battery ID as the Universal Link</w:t>
            </w:r>
          </w:p>
          <w:p>
            <w:pPr>
              <w:spacing w:before="60"/>
            </w:pPr>
            <w:r>
              <w:rPr>
                <w:rFonts w:ascii="Arial" w:cs="Arial" w:eastAsia="Arial" w:hAnsi="Arial"/>
                <w:sz w:val="19"/>
                <w:szCs w:val="19"/>
              </w:rPr>
              <w:t xml:space="preserve">The IoT device uses the Battery ID (inventory.serial_number) as its primary identifier when transmitting telemetry. This is the same field that links the inventory record, the lead, the warranty, and the after-sales record. No additional mapping table is needed — serial_number is the spine connecting all domains.</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6.2.2 Device Registration</w:t>
      </w:r>
    </w:p>
    <w:p>
      <w:pPr>
        <w:spacing w:after="60" w:before="60"/>
      </w:pPr>
      <w:r>
        <w:rPr>
          <w:rFonts w:ascii="Arial" w:cs="Arial" w:eastAsia="Arial" w:hAnsi="Arial"/>
          <w:b w:val="false"/>
          <w:bCs w:val="false"/>
          <w:color w:val="000000"/>
          <w:sz w:val="20"/>
          <w:szCs w:val="20"/>
        </w:rPr>
        <w:t xml:space="preserve">A battery's IoT device is registered when the battery is uploaded to dealer inventory (Section 5.0.3) with iot_enabled = true and a valid IMEI ID. Registration is automatic — no separate device provisioning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Triggered internally by POST /api/admin/inventory/add-item</w:t>
            </w:r>
          </w:p>
          <w:p>
            <w:pPr>
              <w:spacing w:after="18" w:before="18"/>
            </w:pPr>
            <w:r>
              <w:rPr>
                <w:rFonts w:ascii="Courier New" w:cs="Courier New" w:eastAsia="Courier New" w:hAnsi="Courier New"/>
                <w:color w:val="1a1a2e"/>
                <w:sz w:val="16"/>
                <w:szCs w:val="16"/>
              </w:rPr>
              <w:t xml:space="preserve">// or POST /api/admin/inventory/bulk-upload when iot_enabled = true</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POST /api/iot/register-device  (internal call)</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Request:</w:t>
            </w:r>
          </w:p>
          <w:p>
            <w:pPr>
              <w:spacing w:after="18" w:before="18"/>
            </w:pPr>
            <w:r>
              <w:rPr>
                <w:rFonts w:ascii="Courier New" w:cs="Courier New" w:eastAsia="Courier New" w:hAnsi="Courier New"/>
                <w:color w:val="1a1a2e"/>
                <w:sz w:val="16"/>
                <w:szCs w:val="16"/>
              </w:rPr>
              <w:t xml:space="preserve">{  "serialNumber":  "BAT12345",</w:t>
            </w:r>
          </w:p>
          <w:p>
            <w:pPr>
              <w:spacing w:after="18" w:before="18"/>
            </w:pPr>
            <w:r>
              <w:rPr>
                <w:rFonts w:ascii="Courier New" w:cs="Courier New" w:eastAsia="Courier New" w:hAnsi="Courier New"/>
                <w:color w:val="1a1a2e"/>
                <w:sz w:val="16"/>
                <w:szCs w:val="16"/>
              </w:rPr>
              <w:t xml:space="preserve">   "imeiId":        "354000123456789",</w:t>
            </w:r>
          </w:p>
          <w:p>
            <w:pPr>
              <w:spacing w:after="18" w:before="18"/>
            </w:pPr>
            <w:r>
              <w:rPr>
                <w:rFonts w:ascii="Courier New" w:cs="Courier New" w:eastAsia="Courier New" w:hAnsi="Courier New"/>
                <w:color w:val="1a1a2e"/>
                <w:sz w:val="16"/>
                <w:szCs w:val="16"/>
              </w:rPr>
              <w:t xml:space="preserve">   "dealerId":      "DLR-001",</w:t>
            </w:r>
          </w:p>
          <w:p>
            <w:pPr>
              <w:spacing w:after="18" w:before="18"/>
            </w:pPr>
            <w:r>
              <w:rPr>
                <w:rFonts w:ascii="Courier New" w:cs="Courier New" w:eastAsia="Courier New" w:hAnsi="Courier New"/>
                <w:color w:val="1a1a2e"/>
                <w:sz w:val="16"/>
                <w:szCs w:val="16"/>
              </w:rPr>
              <w:t xml:space="preserve">   "model":         "51.2V-105AH",</w:t>
            </w:r>
          </w:p>
          <w:p>
            <w:pPr>
              <w:spacing w:after="18" w:before="18"/>
            </w:pPr>
            <w:r>
              <w:rPr>
                <w:rFonts w:ascii="Courier New" w:cs="Courier New" w:eastAsia="Courier New" w:hAnsi="Courier New"/>
                <w:color w:val="1a1a2e"/>
                <w:sz w:val="16"/>
                <w:szCs w:val="16"/>
              </w:rPr>
              <w:t xml:space="preserve">   "category":      "3W"</w:t>
            </w:r>
          </w:p>
          <w:p>
            <w:pPr>
              <w:spacing w:after="18" w:before="18"/>
            </w:pPr>
            <w:r>
              <w:rPr>
                <w:rFonts w:ascii="Courier New" w:cs="Courier New" w:eastAsia="Courier New" w:hAnsi="Courier New"/>
                <w:color w:val="1a1a2e"/>
                <w:sz w:val="16"/>
                <w:szCs w:val="16"/>
              </w:rPr>
              <w:t xml:space="preserve">}</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Processing:</w:t>
            </w:r>
          </w:p>
          <w:p>
            <w:pPr>
              <w:spacing w:after="18" w:before="18"/>
            </w:pPr>
            <w:r>
              <w:rPr>
                <w:rFonts w:ascii="Courier New" w:cs="Courier New" w:eastAsia="Courier New" w:hAnsi="Courier New"/>
                <w:color w:val="1a1a2e"/>
                <w:sz w:val="16"/>
                <w:szCs w:val="16"/>
              </w:rPr>
              <w:t xml:space="preserve">  1. INSERT iot_devices record (if not exists)</w:t>
            </w:r>
          </w:p>
          <w:p>
            <w:pPr>
              <w:spacing w:after="18" w:before="18"/>
            </w:pPr>
            <w:r>
              <w:rPr>
                <w:rFonts w:ascii="Courier New" w:cs="Courier New" w:eastAsia="Courier New" w:hAnsi="Courier New"/>
                <w:color w:val="1a1a2e"/>
                <w:sz w:val="16"/>
                <w:szCs w:val="16"/>
              </w:rPr>
              <w:t xml:space="preserve">  2. Set device_status = 'registered'</w:t>
            </w:r>
          </w:p>
          <w:p>
            <w:pPr>
              <w:spacing w:after="18" w:before="18"/>
            </w:pPr>
            <w:r>
              <w:rPr>
                <w:rFonts w:ascii="Courier New" w:cs="Courier New" w:eastAsia="Courier New" w:hAnsi="Courier New"/>
                <w:color w:val="1a1a2e"/>
                <w:sz w:val="16"/>
                <w:szCs w:val="16"/>
              </w:rPr>
              <w:t xml:space="preserve">  3. SIM activation trigger (if SIM managed by iTarang)</w:t>
            </w:r>
          </w:p>
          <w:p>
            <w:pPr>
              <w:spacing w:after="18" w:before="18"/>
            </w:pPr>
            <w:r>
              <w:rPr>
                <w:rFonts w:ascii="Courier New" w:cs="Courier New" w:eastAsia="Courier New" w:hAnsi="Courier New"/>
                <w:color w:val="1a1a2e"/>
                <w:sz w:val="16"/>
                <w:szCs w:val="16"/>
              </w:rPr>
              <w:t xml:space="preserve">  4. Device appears in admin IoT dashboard as: Registered — Awaiting First Ping</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Response:</w:t>
            </w:r>
          </w:p>
          <w:p>
            <w:pPr>
              <w:spacing w:after="18" w:before="18"/>
            </w:pPr>
            <w:r>
              <w:rPr>
                <w:rFonts w:ascii="Courier New" w:cs="Courier New" w:eastAsia="Courier New" w:hAnsi="Courier New"/>
                <w:color w:val="1a1a2e"/>
                <w:sz w:val="16"/>
                <w:szCs w:val="16"/>
              </w:rPr>
              <w:t xml:space="preserve">{ "deviceId": "IOT-354000123456789", "status": "registered" }</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6.2.3 Telemetry Ingestion API</w:t>
      </w:r>
    </w:p>
    <w:p>
      <w:pPr>
        <w:spacing w:after="60" w:before="60"/>
      </w:pPr>
      <w:r>
        <w:rPr>
          <w:rFonts w:ascii="Arial" w:cs="Arial" w:eastAsia="Arial" w:hAnsi="Arial"/>
          <w:b w:val="false"/>
          <w:bCs w:val="false"/>
          <w:color w:val="000000"/>
          <w:sz w:val="20"/>
          <w:szCs w:val="20"/>
        </w:rPr>
        <w:t xml:space="preserve">The IoT device transmits a telemetry packet at configurable intervals (default: every 15 minutes when active, every 60 minutes when idle/charging). Packets are received by the iTarang IoT gateway and written to the telemetry store.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POST /api/iot/ingest</w:t>
            </w:r>
          </w:p>
          <w:p>
            <w:pPr>
              <w:spacing w:after="18" w:before="18"/>
            </w:pPr>
            <w:r>
              <w:rPr>
                <w:rFonts w:ascii="Courier New" w:cs="Courier New" w:eastAsia="Courier New" w:hAnsi="Courier New"/>
                <w:color w:val="1a1a2e"/>
                <w:sz w:val="16"/>
                <w:szCs w:val="16"/>
              </w:rPr>
              <w:t xml:space="preserve">Content-Type: application/json</w:t>
            </w:r>
          </w:p>
          <w:p>
            <w:pPr>
              <w:spacing w:after="18" w:before="18"/>
            </w:pPr>
            <w:r>
              <w:rPr>
                <w:rFonts w:ascii="Courier New" w:cs="Courier New" w:eastAsia="Courier New" w:hAnsi="Courier New"/>
                <w:color w:val="1a1a2e"/>
                <w:sz w:val="16"/>
                <w:szCs w:val="16"/>
              </w:rPr>
              <w:t xml:space="preserve">X-Device-IMEI: 354000123456789</w:t>
            </w:r>
          </w:p>
          <w:p>
            <w:pPr>
              <w:spacing w:after="18" w:before="18"/>
            </w:pPr>
            <w:r>
              <w:rPr>
                <w:rFonts w:ascii="Courier New" w:cs="Courier New" w:eastAsia="Courier New" w:hAnsi="Courier New"/>
                <w:color w:val="1a1a2e"/>
                <w:sz w:val="16"/>
                <w:szCs w:val="16"/>
              </w:rPr>
              <w:t xml:space="preserve">X-Device-Token: [device-scoped JWT, rotated monthly]</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Request Payload:</w:t>
            </w:r>
          </w:p>
          <w:p>
            <w:pPr>
              <w:spacing w:after="18" w:before="18"/>
            </w:pPr>
            <w:r>
              <w:rPr>
                <w:rFonts w:ascii="Courier New" w:cs="Courier New" w:eastAsia="Courier New" w:hAnsi="Courier New"/>
                <w:color w:val="1a1a2e"/>
                <w:sz w:val="16"/>
                <w:szCs w:val="16"/>
              </w:rPr>
              <w:t xml:space="preserve">{</w:t>
            </w:r>
          </w:p>
          <w:p>
            <w:pPr>
              <w:spacing w:after="18" w:before="18"/>
            </w:pPr>
            <w:r>
              <w:rPr>
                <w:rFonts w:ascii="Courier New" w:cs="Courier New" w:eastAsia="Courier New" w:hAnsi="Courier New"/>
                <w:color w:val="1a1a2e"/>
                <w:sz w:val="16"/>
                <w:szCs w:val="16"/>
              </w:rPr>
              <w:t xml:space="preserve">  "serialNumber":    "BAT12345",</w:t>
            </w:r>
          </w:p>
          <w:p>
            <w:pPr>
              <w:spacing w:after="18" w:before="18"/>
            </w:pPr>
            <w:r>
              <w:rPr>
                <w:rFonts w:ascii="Courier New" w:cs="Courier New" w:eastAsia="Courier New" w:hAnsi="Courier New"/>
                <w:color w:val="1a1a2e"/>
                <w:sz w:val="16"/>
                <w:szCs w:val="16"/>
              </w:rPr>
              <w:t xml:space="preserve">  "imeiId":          "354000123456789",</w:t>
            </w:r>
          </w:p>
          <w:p>
            <w:pPr>
              <w:spacing w:after="18" w:before="18"/>
            </w:pPr>
            <w:r>
              <w:rPr>
                <w:rFonts w:ascii="Courier New" w:cs="Courier New" w:eastAsia="Courier New" w:hAnsi="Courier New"/>
                <w:color w:val="1a1a2e"/>
                <w:sz w:val="16"/>
                <w:szCs w:val="16"/>
              </w:rPr>
              <w:t xml:space="preserve">  "timestamp":       "2026-07-28T10:30:00Z",  // device UTC time</w:t>
            </w:r>
          </w:p>
          <w:p>
            <w:pPr>
              <w:spacing w:after="18" w:before="18"/>
            </w:pPr>
            <w:r>
              <w:rPr>
                <w:rFonts w:ascii="Courier New" w:cs="Courier New" w:eastAsia="Courier New" w:hAnsi="Courier New"/>
                <w:color w:val="1a1a2e"/>
                <w:sz w:val="16"/>
                <w:szCs w:val="16"/>
              </w:rPr>
              <w:t xml:space="preserve">  "soc_percent":     74,                       // State of Charge 0–100</w:t>
            </w:r>
          </w:p>
          <w:p>
            <w:pPr>
              <w:spacing w:after="18" w:before="18"/>
            </w:pPr>
            <w:r>
              <w:rPr>
                <w:rFonts w:ascii="Courier New" w:cs="Courier New" w:eastAsia="Courier New" w:hAnsi="Courier New"/>
                <w:color w:val="1a1a2e"/>
                <w:sz w:val="16"/>
                <w:szCs w:val="16"/>
              </w:rPr>
              <w:t xml:space="preserve">  "soh_percent":     91,                       // State of Health 0–100</w:t>
            </w:r>
          </w:p>
          <w:p>
            <w:pPr>
              <w:spacing w:after="18" w:before="18"/>
            </w:pPr>
            <w:r>
              <w:rPr>
                <w:rFonts w:ascii="Courier New" w:cs="Courier New" w:eastAsia="Courier New" w:hAnsi="Courier New"/>
                <w:color w:val="1a1a2e"/>
                <w:sz w:val="16"/>
                <w:szCs w:val="16"/>
              </w:rPr>
              <w:t xml:space="preserve">  "voltage_v":       51.8,                     // Current pack voltage</w:t>
            </w:r>
          </w:p>
          <w:p>
            <w:pPr>
              <w:spacing w:after="18" w:before="18"/>
            </w:pPr>
            <w:r>
              <w:rPr>
                <w:rFonts w:ascii="Courier New" w:cs="Courier New" w:eastAsia="Courier New" w:hAnsi="Courier New"/>
                <w:color w:val="1a1a2e"/>
                <w:sz w:val="16"/>
                <w:szCs w:val="16"/>
              </w:rPr>
              <w:t xml:space="preserve">  "current_a":       12.4,                     // Positive=charging, Negative=discharge</w:t>
            </w:r>
          </w:p>
          <w:p>
            <w:pPr>
              <w:spacing w:after="18" w:before="18"/>
            </w:pPr>
            <w:r>
              <w:rPr>
                <w:rFonts w:ascii="Courier New" w:cs="Courier New" w:eastAsia="Courier New" w:hAnsi="Courier New"/>
                <w:color w:val="1a1a2e"/>
                <w:sz w:val="16"/>
                <w:szCs w:val="16"/>
              </w:rPr>
              <w:t xml:space="preserve">  "temperature_c":   32.1,                     // Battery pack temperature</w:t>
            </w:r>
          </w:p>
          <w:p>
            <w:pPr>
              <w:spacing w:after="18" w:before="18"/>
            </w:pPr>
            <w:r>
              <w:rPr>
                <w:rFonts w:ascii="Courier New" w:cs="Courier New" w:eastAsia="Courier New" w:hAnsi="Courier New"/>
                <w:color w:val="1a1a2e"/>
                <w:sz w:val="16"/>
                <w:szCs w:val="16"/>
              </w:rPr>
              <w:t xml:space="preserve">  "charge_cycles":   143,                      // Total full charge cycles</w:t>
            </w:r>
          </w:p>
          <w:p>
            <w:pPr>
              <w:spacing w:after="18" w:before="18"/>
            </w:pPr>
            <w:r>
              <w:rPr>
                <w:rFonts w:ascii="Courier New" w:cs="Courier New" w:eastAsia="Courier New" w:hAnsi="Courier New"/>
                <w:color w:val="1a1a2e"/>
                <w:sz w:val="16"/>
                <w:szCs w:val="16"/>
              </w:rPr>
              <w:t xml:space="preserve">  "gps": {</w:t>
            </w:r>
          </w:p>
          <w:p>
            <w:pPr>
              <w:spacing w:after="18" w:before="18"/>
            </w:pPr>
            <w:r>
              <w:rPr>
                <w:rFonts w:ascii="Courier New" w:cs="Courier New" w:eastAsia="Courier New" w:hAnsi="Courier New"/>
                <w:color w:val="1a1a2e"/>
                <w:sz w:val="16"/>
                <w:szCs w:val="16"/>
              </w:rPr>
              <w:t xml:space="preserve">    "lat":  25.4358,</w:t>
            </w:r>
          </w:p>
          <w:p>
            <w:pPr>
              <w:spacing w:after="18" w:before="18"/>
            </w:pPr>
            <w:r>
              <w:rPr>
                <w:rFonts w:ascii="Courier New" w:cs="Courier New" w:eastAsia="Courier New" w:hAnsi="Courier New"/>
                <w:color w:val="1a1a2e"/>
                <w:sz w:val="16"/>
                <w:szCs w:val="16"/>
              </w:rPr>
              <w:t xml:space="preserve">    "lng":  81.8463,</w:t>
            </w:r>
          </w:p>
          <w:p>
            <w:pPr>
              <w:spacing w:after="18" w:before="18"/>
            </w:pPr>
            <w:r>
              <w:rPr>
                <w:rFonts w:ascii="Courier New" w:cs="Courier New" w:eastAsia="Courier New" w:hAnsi="Courier New"/>
                <w:color w:val="1a1a2e"/>
                <w:sz w:val="16"/>
                <w:szCs w:val="16"/>
              </w:rPr>
              <w:t xml:space="preserve">    "accuracy_m": 15</w:t>
            </w:r>
          </w:p>
          <w:p>
            <w:pPr>
              <w:spacing w:after="18" w:before="18"/>
            </w:pPr>
            <w:r>
              <w:rPr>
                <w:rFonts w:ascii="Courier New" w:cs="Courier New" w:eastAsia="Courier New" w:hAnsi="Courier New"/>
                <w:color w:val="1a1a2e"/>
                <w:sz w:val="16"/>
                <w:szCs w:val="16"/>
              </w:rPr>
              <w:t xml:space="preserve">  },</w:t>
            </w:r>
          </w:p>
          <w:p>
            <w:pPr>
              <w:spacing w:after="18" w:before="18"/>
            </w:pPr>
            <w:r>
              <w:rPr>
                <w:rFonts w:ascii="Courier New" w:cs="Courier New" w:eastAsia="Courier New" w:hAnsi="Courier New"/>
                <w:color w:val="1a1a2e"/>
                <w:sz w:val="16"/>
                <w:szCs w:val="16"/>
              </w:rPr>
              <w:t xml:space="preserve">  "daily_km":        28.4,                     // Distance today</w:t>
            </w:r>
          </w:p>
          <w:p>
            <w:pPr>
              <w:spacing w:after="18" w:before="18"/>
            </w:pPr>
            <w:r>
              <w:rPr>
                <w:rFonts w:ascii="Courier New" w:cs="Courier New" w:eastAsia="Courier New" w:hAnsi="Courier New"/>
                <w:color w:val="1a1a2e"/>
                <w:sz w:val="16"/>
                <w:szCs w:val="16"/>
              </w:rPr>
              <w:t xml:space="preserve">  "idle_hours":      6.2,                      // Hours not moving today</w:t>
            </w:r>
          </w:p>
          <w:p>
            <w:pPr>
              <w:spacing w:after="18" w:before="18"/>
            </w:pPr>
            <w:r>
              <w:rPr>
                <w:rFonts w:ascii="Courier New" w:cs="Courier New" w:eastAsia="Courier New" w:hAnsi="Courier New"/>
                <w:color w:val="1a1a2e"/>
                <w:sz w:val="16"/>
                <w:szCs w:val="16"/>
              </w:rPr>
              <w:t xml:space="preserve">  "bms_status":      "normal",                 // normal|fault|warning</w:t>
            </w:r>
          </w:p>
          <w:p>
            <w:pPr>
              <w:spacing w:after="18" w:before="18"/>
            </w:pPr>
            <w:r>
              <w:rPr>
                <w:rFonts w:ascii="Courier New" w:cs="Courier New" w:eastAsia="Courier New" w:hAnsi="Courier New"/>
                <w:color w:val="1a1a2e"/>
                <w:sz w:val="16"/>
                <w:szCs w:val="16"/>
              </w:rPr>
              <w:t xml:space="preserve">  "charger_connected": false</w:t>
            </w:r>
          </w:p>
          <w:p>
            <w:pPr>
              <w:spacing w:after="18" w:before="18"/>
            </w:pPr>
            <w:r>
              <w:rPr>
                <w:rFonts w:ascii="Courier New" w:cs="Courier New" w:eastAsia="Courier New" w:hAnsi="Courier New"/>
                <w:color w:val="1a1a2e"/>
                <w:sz w:val="16"/>
                <w:szCs w:val="16"/>
              </w:rPr>
              <w:t xml:space="preserve">}</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Processing:</w:t>
            </w:r>
          </w:p>
          <w:p>
            <w:pPr>
              <w:spacing w:after="18" w:before="18"/>
            </w:pPr>
            <w:r>
              <w:rPr>
                <w:rFonts w:ascii="Courier New" w:cs="Courier New" w:eastAsia="Courier New" w:hAnsi="Courier New"/>
                <w:color w:val="1a1a2e"/>
                <w:sz w:val="16"/>
                <w:szCs w:val="16"/>
              </w:rPr>
              <w:t xml:space="preserve">  1. Validate IMEI + token</w:t>
            </w:r>
          </w:p>
          <w:p>
            <w:pPr>
              <w:spacing w:after="18" w:before="18"/>
            </w:pPr>
            <w:r>
              <w:rPr>
                <w:rFonts w:ascii="Courier New" w:cs="Courier New" w:eastAsia="Courier New" w:hAnsi="Courier New"/>
                <w:color w:val="1a1a2e"/>
                <w:sz w:val="16"/>
                <w:szCs w:val="16"/>
              </w:rPr>
              <w:t xml:space="preserve">  2. Validate serialNumber exists in inventory AND iot_enabled = true</w:t>
            </w:r>
          </w:p>
          <w:p>
            <w:pPr>
              <w:spacing w:after="18" w:before="18"/>
            </w:pPr>
            <w:r>
              <w:rPr>
                <w:rFonts w:ascii="Courier New" w:cs="Courier New" w:eastAsia="Courier New" w:hAnsi="Courier New"/>
                <w:color w:val="1a1a2e"/>
                <w:sz w:val="16"/>
                <w:szCs w:val="16"/>
              </w:rPr>
              <w:t xml:space="preserve">  3. Validate timestamp within ±5 minutes of server time (reject stale packets)</w:t>
            </w:r>
          </w:p>
          <w:p>
            <w:pPr>
              <w:spacing w:after="18" w:before="18"/>
            </w:pPr>
            <w:r>
              <w:rPr>
                <w:rFonts w:ascii="Courier New" w:cs="Courier New" w:eastAsia="Courier New" w:hAnsi="Courier New"/>
                <w:color w:val="1a1a2e"/>
                <w:sz w:val="16"/>
                <w:szCs w:val="16"/>
              </w:rPr>
              <w:t xml:space="preserve">  4. INSERT telemetry_events record</w:t>
            </w:r>
          </w:p>
          <w:p>
            <w:pPr>
              <w:spacing w:after="18" w:before="18"/>
            </w:pPr>
            <w:r>
              <w:rPr>
                <w:rFonts w:ascii="Courier New" w:cs="Courier New" w:eastAsia="Courier New" w:hAnsi="Courier New"/>
                <w:color w:val="1a1a2e"/>
                <w:sz w:val="16"/>
                <w:szCs w:val="16"/>
              </w:rPr>
              <w:t xml:space="preserve">  5. UPDATE iot_devices: last_seen = timestamp, soc_percent, soh_percent,</w:t>
            </w:r>
          </w:p>
          <w:p>
            <w:pPr>
              <w:spacing w:after="18" w:before="18"/>
            </w:pPr>
            <w:r>
              <w:rPr>
                <w:rFonts w:ascii="Courier New" w:cs="Courier New" w:eastAsia="Courier New" w:hAnsi="Courier New"/>
                <w:color w:val="1a1a2e"/>
                <w:sz w:val="16"/>
                <w:szCs w:val="16"/>
              </w:rPr>
              <w:t xml:space="preserve">        gps_lat, gps_lng, device_status = 'online'</w:t>
            </w:r>
          </w:p>
          <w:p>
            <w:pPr>
              <w:spacing w:after="18" w:before="18"/>
            </w:pPr>
            <w:r>
              <w:rPr>
                <w:rFonts w:ascii="Courier New" w:cs="Courier New" w:eastAsia="Courier New" w:hAnsi="Courier New"/>
                <w:color w:val="1a1a2e"/>
                <w:sz w:val="16"/>
                <w:szCs w:val="16"/>
              </w:rPr>
              <w:t xml:space="preserve">  6. Evaluate alert rules (Section 6.2.6)</w:t>
            </w:r>
          </w:p>
          <w:p>
            <w:pPr>
              <w:spacing w:after="18" w:before="18"/>
            </w:pPr>
            <w:r>
              <w:rPr>
                <w:rFonts w:ascii="Courier New" w:cs="Courier New" w:eastAsia="Courier New" w:hAnsi="Courier New"/>
                <w:color w:val="1a1a2e"/>
                <w:sz w:val="16"/>
                <w:szCs w:val="16"/>
              </w:rPr>
              <w:t xml:space="preserve">  7. Update daily usage summary (telemetry_daily_summary upsert)</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Response 200:</w:t>
            </w:r>
          </w:p>
          <w:p>
            <w:pPr>
              <w:spacing w:after="18" w:before="18"/>
            </w:pPr>
            <w:r>
              <w:rPr>
                <w:rFonts w:ascii="Courier New" w:cs="Courier New" w:eastAsia="Courier New" w:hAnsi="Courier New"/>
                <w:color w:val="1a1a2e"/>
                <w:sz w:val="16"/>
                <w:szCs w:val="16"/>
              </w:rPr>
              <w:t xml:space="preserve">{ "accepted": true, "serverTime": "2026-07-28T10:30:02Z"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Response 401 (invalid token):</w:t>
            </w:r>
          </w:p>
          <w:p>
            <w:pPr>
              <w:spacing w:after="18" w:before="18"/>
            </w:pPr>
            <w:r>
              <w:rPr>
                <w:rFonts w:ascii="Courier New" w:cs="Courier New" w:eastAsia="Courier New" w:hAnsi="Courier New"/>
                <w:color w:val="1a1a2e"/>
                <w:sz w:val="16"/>
                <w:szCs w:val="16"/>
              </w:rPr>
              <w:t xml:space="preserve">{ "error": "DEVICE_AUTH_FAILED"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Response 422 (validation failure):</w:t>
            </w:r>
          </w:p>
          <w:p>
            <w:pPr>
              <w:spacing w:after="18" w:before="18"/>
            </w:pPr>
            <w:r>
              <w:rPr>
                <w:rFonts w:ascii="Courier New" w:cs="Courier New" w:eastAsia="Courier New" w:hAnsi="Courier New"/>
                <w:color w:val="1a1a2e"/>
                <w:sz w:val="16"/>
                <w:szCs w:val="16"/>
              </w:rPr>
              <w:t xml:space="preserve">{ "error": "INVALID_PAYLOAD", "field": "soc_percent", "message": "Must be 0–100" }</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6.2.4 Telemetry Data Storage</w:t>
      </w:r>
    </w:p>
    <w:p>
      <w:pPr>
        <w:pStyle w:val="Heading3"/>
        <w:spacing w:after="80" w:before="200"/>
      </w:pPr>
      <w:r>
        <w:rPr>
          <w:rFonts w:ascii="Arial" w:cs="Arial" w:eastAsia="Arial" w:hAnsi="Arial"/>
          <w:b/>
          <w:bCs/>
          <w:color w:val="138fc6"/>
          <w:sz w:val="24"/>
          <w:szCs w:val="24"/>
        </w:rPr>
        <w:t xml:space="preserve">iot_devices — Current State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IOT-{IMEI}</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references inventory.serial_number. The universal link.</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imei_id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owning dealer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device_status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'registered'|'online'|'offline'|'inactive'|'decommissioned'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 successful telemetry packet timestamp</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soc_percent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TINYINT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recent SOC (0–100)</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soh_percent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TINYINT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recent SOH (0–100)</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voltage_v</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DECIMAL(6,2)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recent pack voltage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temperature_c</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recent temperature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charge_cycles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Cumulative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gps_lat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DECIMAL(10,7)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recent GPS latitude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gps_lng</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DECIMAL(10,7)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recent GPS longitude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gps_updated_at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bms_status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'normal'|'fault'|'warning'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first_usage_at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ever telemetry packet. Used as warranty_start when source='iot'.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t xml:space="preserve"/>
      </w:r>
    </w:p>
    <w:p>
      <w:pPr>
        <w:pStyle w:val="Heading3"/>
        <w:spacing w:after="80" w:before="200"/>
      </w:pPr>
      <w:r>
        <w:rPr>
          <w:rFonts w:ascii="Arial" w:cs="Arial" w:eastAsia="Arial" w:hAnsi="Arial"/>
          <w:b/>
          <w:bCs/>
          <w:color w:val="138fc6"/>
          <w:sz w:val="24"/>
          <w:szCs w:val="24"/>
        </w:rPr>
        <w:t xml:space="preserve">telemetry_events — Raw Time-Series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High-volume table. Partition by month.</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to inventory (not enforced at DB level for write throughput)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imei_id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device_time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Device-reported UTC timestamp</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server_time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Server receipt time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soc_percent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TINYINT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soh_percent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TINYINT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voltage_v</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DECIMAL(6,2)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current_a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DECIMAL(7,2)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Positive = charging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temperature_c</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charge_cycles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gps_lat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DECIMAL(10,7)</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gps_lng</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DECIMAL(10,7)</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daily_km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DECIMAL(8,2)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idle_hours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DECIMAL(6,2)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bms_status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charger_connected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t xml:space="preserve"/>
      </w:r>
    </w:p>
    <w:p>
      <w:pPr>
        <w:pStyle w:val="Heading3"/>
        <w:spacing w:after="80" w:before="200"/>
      </w:pPr>
      <w:r>
        <w:rPr>
          <w:rFonts w:ascii="Arial" w:cs="Arial" w:eastAsia="Arial" w:hAnsi="Arial"/>
          <w:b/>
          <w:bCs/>
          <w:color w:val="138fc6"/>
          <w:sz w:val="24"/>
          <w:szCs w:val="24"/>
        </w:rPr>
        <w:t xml:space="preserve">telemetry_daily_summary — Aggregated for Risk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summary_date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row per battery per day</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avg_soc</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min_soc</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max_soh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total_km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DECIMAL(8,2)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total_idle_hours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DECIMAL(6,2)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charge_sessions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of charge events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bms_faults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DEFAULT 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 of fault/warning bms_status events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packets_received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quality metric</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gps_home_lat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DECIMAL(10,7)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gps_home_lng</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DECIMAL(10,7)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common GPS cluster for this day</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6.2.5 Telemetry Freshness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Display</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 &lt; 15 min ago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 74% 🟢 | Just now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 15 min – 6 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 74% | 2h ago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 normal idle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 6 h – 24 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 74% ⚠️ | 8h ago (stale)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Amber badge. Possibly offline or stationary.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 &gt; 24 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 N/A 🔴 | Offline &gt;24h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generated: 'Battery BAT12345 offline &gt;24h'. Notify NBFC.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Never seen (registered only)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 N/A | No data yet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Badge: '⏳ Awaiting first ping'</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6.2.6 Telemetry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600"/>
        <w:gridCol w:w="3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Condition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Notification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Offline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 &gt; 24h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Critical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dashboard alert + email to primary contact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Offline Extended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last_seen &gt; 48h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Critical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iTarang admin alert. CDS score flagged.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Usage Drop</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daily_km drops &gt;40% vs 7-day avg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Warning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dashboard alert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Geo-Shift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GPS centroid moves &gt;100km from home cluster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Critical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alert + iTarang admin alert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BMS Fault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bms_status = 'fault' in any packet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Critical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alert + dealer alert + after-sales record flagged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SOH Decline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soh_percent drops &gt;5% in 30 days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Warning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dashboard alert. Warranty claim check triggered.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SOC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soc_percent &lt; 10% and not charging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Info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 dashboard notification only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Temperature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temperature_c &gt; 55°C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Critical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alert + dealer alert. Safety flag.</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6.2.7 Telemetry Query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Current state (used in Step 4 SOC display + dealer inventory view):</w:t>
            </w:r>
          </w:p>
          <w:p>
            <w:pPr>
              <w:spacing w:after="18" w:before="18"/>
            </w:pPr>
            <w:r>
              <w:rPr>
                <w:rFonts w:ascii="Courier New" w:cs="Courier New" w:eastAsia="Courier New" w:hAnsi="Courier New"/>
                <w:color w:val="1a1a2e"/>
                <w:sz w:val="16"/>
                <w:szCs w:val="16"/>
              </w:rPr>
              <w:t xml:space="preserve">GET /api/iot/battery/:serialNumber/soc</w:t>
            </w:r>
          </w:p>
          <w:p>
            <w:pPr>
              <w:spacing w:after="18" w:before="18"/>
            </w:pPr>
            <w:r>
              <w:rPr>
                <w:rFonts w:ascii="Courier New" w:cs="Courier New" w:eastAsia="Courier New" w:hAnsi="Courier New"/>
                <w:color w:val="1a1a2e"/>
                <w:sz w:val="16"/>
                <w:szCs w:val="16"/>
              </w:rPr>
              <w:t xml:space="preserve">Response: { serial, soc_percent, soh_percent, last_seen, device_status, freshness: "fresh"|"stale"|"offline"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Full current device state:</w:t>
            </w:r>
          </w:p>
          <w:p>
            <w:pPr>
              <w:spacing w:after="18" w:before="18"/>
            </w:pPr>
            <w:r>
              <w:rPr>
                <w:rFonts w:ascii="Courier New" w:cs="Courier New" w:eastAsia="Courier New" w:hAnsi="Courier New"/>
                <w:color w:val="1a1a2e"/>
                <w:sz w:val="16"/>
                <w:szCs w:val="16"/>
              </w:rPr>
              <w:t xml:space="preserve">GET /api/iot/battery/:serialNumber/state</w:t>
            </w:r>
          </w:p>
          <w:p>
            <w:pPr>
              <w:spacing w:after="18" w:before="18"/>
            </w:pPr>
            <w:r>
              <w:rPr>
                <w:rFonts w:ascii="Courier New" w:cs="Courier New" w:eastAsia="Courier New" w:hAnsi="Courier New"/>
                <w:color w:val="1a1a2e"/>
                <w:sz w:val="16"/>
                <w:szCs w:val="16"/>
              </w:rPr>
              <w:t xml:space="preserve">Response: full iot_devices row + computed data_freshness</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Historical telemetry (for NBFC battery monitoring chart):</w:t>
            </w:r>
          </w:p>
          <w:p>
            <w:pPr>
              <w:spacing w:after="18" w:before="18"/>
            </w:pPr>
            <w:r>
              <w:rPr>
                <w:rFonts w:ascii="Courier New" w:cs="Courier New" w:eastAsia="Courier New" w:hAnsi="Courier New"/>
                <w:color w:val="1a1a2e"/>
                <w:sz w:val="16"/>
                <w:szCs w:val="16"/>
              </w:rPr>
              <w:t xml:space="preserve">GET /api/iot/battery/:serialNumber/history</w:t>
            </w:r>
          </w:p>
          <w:p>
            <w:pPr>
              <w:spacing w:after="18" w:before="18"/>
            </w:pPr>
            <w:r>
              <w:rPr>
                <w:rFonts w:ascii="Courier New" w:cs="Courier New" w:eastAsia="Courier New" w:hAnsi="Courier New"/>
                <w:color w:val="1a1a2e"/>
                <w:sz w:val="16"/>
                <w:szCs w:val="16"/>
              </w:rPr>
              <w:t xml:space="preserve">     ?from=2026-07-01&amp;to=2026-07-28&amp;metric=soc|soh|daily_km|gps</w:t>
            </w:r>
          </w:p>
          <w:p>
            <w:pPr>
              <w:spacing w:after="18" w:before="18"/>
            </w:pPr>
            <w:r>
              <w:rPr>
                <w:rFonts w:ascii="Courier New" w:cs="Courier New" w:eastAsia="Courier New" w:hAnsi="Courier New"/>
                <w:color w:val="1a1a2e"/>
                <w:sz w:val="16"/>
                <w:szCs w:val="16"/>
              </w:rPr>
              <w:t xml:space="preserve">Response: { serial, metric, points: [{ date, value }]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Daily summaries (for CDS scoring input):</w:t>
            </w:r>
          </w:p>
          <w:p>
            <w:pPr>
              <w:spacing w:after="18" w:before="18"/>
            </w:pPr>
            <w:r>
              <w:rPr>
                <w:rFonts w:ascii="Courier New" w:cs="Courier New" w:eastAsia="Courier New" w:hAnsi="Courier New"/>
                <w:color w:val="1a1a2e"/>
                <w:sz w:val="16"/>
                <w:szCs w:val="16"/>
              </w:rPr>
              <w:t xml:space="preserve">GET /api/iot/battery/:serialNumber/daily-summaries</w:t>
            </w:r>
          </w:p>
          <w:p>
            <w:pPr>
              <w:spacing w:after="18" w:before="18"/>
            </w:pPr>
            <w:r>
              <w:rPr>
                <w:rFonts w:ascii="Courier New" w:cs="Courier New" w:eastAsia="Courier New" w:hAnsi="Courier New"/>
                <w:color w:val="1a1a2e"/>
                <w:sz w:val="16"/>
                <w:szCs w:val="16"/>
              </w:rPr>
              <w:t xml:space="preserve">     ?days=30</w:t>
            </w:r>
          </w:p>
          <w:p>
            <w:pPr>
              <w:spacing w:after="18" w:before="18"/>
            </w:pPr>
            <w:r>
              <w:rPr>
                <w:rFonts w:ascii="Courier New" w:cs="Courier New" w:eastAsia="Courier New" w:hAnsi="Courier New"/>
                <w:color w:val="1a1a2e"/>
                <w:sz w:val="16"/>
                <w:szCs w:val="16"/>
              </w:rPr>
              <w:t xml:space="preserve">Response: { serial, summaries: [ telemetry_daily_summary rows ]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Fleet view (NBFC portfolio):</w:t>
            </w:r>
          </w:p>
          <w:p>
            <w:pPr>
              <w:spacing w:after="18" w:before="18"/>
            </w:pPr>
            <w:r>
              <w:rPr>
                <w:rFonts w:ascii="Courier New" w:cs="Courier New" w:eastAsia="Courier New" w:hAnsi="Courier New"/>
                <w:color w:val="1a1a2e"/>
                <w:sz w:val="16"/>
                <w:szCs w:val="16"/>
              </w:rPr>
              <w:t xml:space="preserve">GET /api/iot/fleet</w:t>
            </w:r>
          </w:p>
          <w:p>
            <w:pPr>
              <w:spacing w:after="18" w:before="18"/>
            </w:pPr>
            <w:r>
              <w:rPr>
                <w:rFonts w:ascii="Courier New" w:cs="Courier New" w:eastAsia="Courier New" w:hAnsi="Courier New"/>
                <w:color w:val="1a1a2e"/>
                <w:sz w:val="16"/>
                <w:szCs w:val="16"/>
              </w:rPr>
              <w:t xml:space="preserve">     ?nbfcId=NBFC-001&amp;status=offline|online|all</w:t>
            </w:r>
          </w:p>
          <w:p>
            <w:pPr>
              <w:spacing w:after="18" w:before="18"/>
            </w:pPr>
            <w:r>
              <w:rPr>
                <w:rFonts w:ascii="Courier New" w:cs="Courier New" w:eastAsia="Courier New" w:hAnsi="Courier New"/>
                <w:color w:val="1a1a2e"/>
                <w:sz w:val="16"/>
                <w:szCs w:val="16"/>
              </w:rPr>
              <w:t xml:space="preserve">Response: { total, online, offline, alerts: [] }</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Auth: NBFC JWT → only see own portfolio serials.</w:t>
            </w:r>
          </w:p>
          <w:p>
            <w:pPr>
              <w:spacing w:after="18" w:before="18"/>
            </w:pPr>
            <w:r>
              <w:rPr>
                <w:rFonts w:ascii="Courier New" w:cs="Courier New" w:eastAsia="Courier New" w:hAnsi="Courier New"/>
                <w:color w:val="1a1a2e"/>
                <w:sz w:val="16"/>
                <w:szCs w:val="16"/>
              </w:rPr>
              <w:t xml:space="preserve">      Admin JWT → see any serial.</w:t>
            </w:r>
          </w:p>
          <w:p>
            <w:pPr>
              <w:spacing w:after="18" w:before="18"/>
            </w:pPr>
            <w:r>
              <w:rPr>
                <w:rFonts w:ascii="Courier New" w:cs="Courier New" w:eastAsia="Courier New" w:hAnsi="Courier New"/>
                <w:color w:val="1a1a2e"/>
                <w:sz w:val="16"/>
                <w:szCs w:val="16"/>
              </w:rPr>
              <w:t xml:space="preserve">      Dealer JWT → only see own inventory serials.</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CRM — Section 6.3</w:t>
            </w:r>
          </w:p>
          <w:p>
            <w:pPr>
              <w:jc w:val="center"/>
            </w:pPr>
            <w:r>
              <w:rPr>
                <w:rFonts w:ascii="Arial" w:cs="Arial" w:eastAsia="Arial" w:hAnsi="Arial"/>
                <w:b/>
                <w:bCs/>
                <w:color w:val="FFFFFF"/>
                <w:sz w:val="34"/>
                <w:szCs w:val="34"/>
              </w:rPr>
              <w:t xml:space="preserve">iTarang Admin Control Dashboard</w:t>
            </w:r>
          </w:p>
          <w:p>
            <w:pPr>
              <w:jc w:val="center"/>
            </w:pPr>
            <w:r>
              <w:rPr>
                <w:rFonts w:ascii="Arial" w:cs="Arial" w:eastAsia="Arial" w:hAnsi="Arial"/>
                <w:color w:val="F4F7FA"/>
                <w:sz w:val="18"/>
                <w:szCs w:val="18"/>
              </w:rPr>
              <w:t xml:space="preserve">Ecosystem Overview · Partner Network · NBFC Monitoring · Risk Rule Engine · Auction Control · Audit</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6.3.1 OVERVIEW</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The iTarang Admin Dashboard is the super-admin layer operated exclusively by iTarang's internal team. It provides cross-NBFC visibility, risk parameter control, auction management, and compliance oversight. While the NBFC Portal gives a single lending partner a view of their portfolio, the Admin Dashboard gives iTarang a view of the entire ecosystem.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Sidebar Module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Ecosystem Overview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Cross-NBFC summary: total portfolio, connected partners, IoT connectivity %, delinquency benchmarks, platform health tiles (API latency, alert volume).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Partner Network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onboarding pipeline, dealer network growth, lead conversion funnel by region, AI dialer performance, cost-per-acquisition.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NBFC Portfolio Monitoring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Cross-NBFC comparison: delinquency rate, recovery rate, active loans, avg CDS by NBFC. Drill-down per NBFC. Anomaly flagging.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Auction Control Centre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power screen for all live auctions. Extend/reduce time, pause, set reserve price, approve/cancel lots. Every action gated with confirmation + MFA + audit log.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Risk Rule Engine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risk thresholds: CDS bands, PCI bands, EMI overdue trigger days, usage-drop %, geo-shift km. Changes require dual approval.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Alert Configuration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alert rules on/off. Adjust severity thresholds. Configure notification channels (email/SMS/dashboard) per alert type. All changes logged.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Inventory Management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Recovered battery inventory across all NBFCs: status, warehouse, age, SOH. Drill-down to individual units.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Audit Log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Immutable, filterable log of all privileged admin actions across the platform.</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6.3.2 Ecosystem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 Tile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Connected NBFCs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COUNT(nbfc) WHERE status = 'active'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Portfolio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SUM(loan_amount) across all active NBFCs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Batteries in Field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COUNT(inventory) WHERE status = 'sold' AND iot_enabled = true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IoT Connectivity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(online devices / total registered devices) × 100. Refreshed every 15 min.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Uptime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Computed from API health check logs. Target: 99.7%</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Alerts (24h)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COUNT(alerts) by severity: 🔴 Critical / 🟡 Warning / 🟢 Info</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 CDS (Network)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AVG(cds_score) across all active borrowers. Refreshed nightly.</w:t>
            </w:r>
          </w:p>
        </w:tc>
      </w:tr>
    </w:tbl>
    <w:p>
      <w:pPr>
        <w:spacing w:after="0" w:before="80"/>
      </w:pPr>
      <w:r>
        <w:t xml:space="preserve"/>
      </w:r>
    </w:p>
    <w:p>
      <w:pPr>
        <w:pStyle w:val="Heading3"/>
        <w:spacing w:after="80" w:before="200"/>
      </w:pPr>
      <w:r>
        <w:rPr>
          <w:rFonts w:ascii="Arial" w:cs="Arial" w:eastAsia="Arial" w:hAnsi="Arial"/>
          <w:b/>
          <w:bCs/>
          <w:color w:val="138fc6"/>
          <w:sz w:val="24"/>
          <w:szCs w:val="24"/>
        </w:rPr>
        <w:t xml:space="preserve">Cross-NBFC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60"/>
        <w:gridCol w:w="20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NBFC</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Active Loans</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Delinquency %</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CDS</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Recovery Rate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ABC Finance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1,245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71%</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XYZ Capital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892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 🟡</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PQR NBFC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2,109</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 🟢</w:t>
            </w:r>
          </w:p>
        </w:tc>
      </w:tr>
    </w:tbl>
    <w:p>
      <w:pPr>
        <w:spacing w:after="0" w:before="60"/>
      </w:pPr>
      <w:r>
        <w:t xml:space="preserve"/>
      </w:r>
    </w:p>
    <w:p>
      <w:pPr>
        <w:spacing w:after="60" w:before="60"/>
      </w:pPr>
      <w:r>
        <w:rPr>
          <w:rFonts w:ascii="Arial" w:cs="Arial" w:eastAsia="Arial" w:hAnsi="Arial"/>
          <w:b w:val="false"/>
          <w:bCs w:val="false"/>
          <w:color w:val="4A4A4A"/>
          <w:sz w:val="20"/>
          <w:szCs w:val="20"/>
        </w:rPr>
        <w:t xml:space="preserve">Red/amber indicators trigger an automatic 'Anomaly Flag' on the NBFC record. iTarang Ops team notified for investigation.</w:t>
      </w:r>
    </w:p>
    <w:p>
      <w:pPr>
        <w:spacing w:after="0" w:before="120"/>
      </w:pPr>
      <w:r>
        <w:t xml:space="preserve"/>
      </w:r>
    </w:p>
    <w:p>
      <w:pPr>
        <w:pStyle w:val="Heading2"/>
        <w:spacing w:after="120" w:before="300"/>
      </w:pPr>
      <w:r>
        <w:rPr>
          <w:rFonts w:ascii="Arial" w:cs="Arial" w:eastAsia="Arial" w:hAnsi="Arial"/>
          <w:b/>
          <w:bCs/>
          <w:color w:val="165e73"/>
          <w:sz w:val="28"/>
          <w:szCs w:val="28"/>
        </w:rPr>
        <w:t xml:space="preserve">6.3.3 Risk Rule Engine</w:t>
      </w:r>
    </w:p>
    <w:p>
      <w:pPr>
        <w:spacing w:after="60" w:before="60"/>
      </w:pPr>
      <w:r>
        <w:rPr>
          <w:rFonts w:ascii="Arial" w:cs="Arial" w:eastAsia="Arial" w:hAnsi="Arial"/>
          <w:b w:val="false"/>
          <w:bCs w:val="false"/>
          <w:color w:val="000000"/>
          <w:sz w:val="20"/>
          <w:szCs w:val="20"/>
        </w:rPr>
        <w:t xml:space="preserve">The Risk Rule Engine allows iTarang admin to configure the global thresholds that drive CDS bands, alert triggers, and action gates. Every change is subject to dual approval and full audit logging.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Default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 of Change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CDS: Low/Medium threshold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Accounts with CDS &lt; 40 = Low Risk. Raising this threshold marks more accounts as Medium Risk.</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CDS: Medium/High threshold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CDS: High/Very High threshold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Accounts above this trigger dual-approval gate for any action.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EMI Overdue Trigger (days)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generated when any EMI is overdue beyond this.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Usage Drop Threshold (%)</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if daily_km drops &gt;X% below 7-day average.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Geo-Shift Threshold (km)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km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if GPS centroid moves &gt;X km from home cluster.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Alert Threshold (h)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hours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if no telemetry received for &gt;X hours.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PCI: Concern threshold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Accounts below this PCI score flagged for monitoring.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B45309"/>
                <w:sz w:val="20"/>
                <w:szCs w:val="20"/>
              </w:rPr>
              <w:t xml:space="preserve">Every Threshold Change Requires Dual Approval</w:t>
            </w:r>
          </w:p>
          <w:p>
            <w:pPr>
              <w:spacing w:before="60"/>
            </w:pPr>
            <w:r>
              <w:rPr>
                <w:rFonts w:ascii="Arial" w:cs="Arial" w:eastAsia="Arial" w:hAnsi="Arial"/>
                <w:sz w:val="19"/>
                <w:szCs w:val="19"/>
              </w:rPr>
              <w:t xml:space="preserve">Step 1: Admin enters new value. Step 2: System shows impact preview — 'This change will affect N accounts. Accounts moving to higher risk band: X.' Step 3: MFA prompt. Step 4: Risk Head approval required (second admin login). Step 5: Change logged in audit with before/after values, both approvers, and timestamp. Change takes effect immediately after second approval.</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6.3.4 Auction Control Centre</w:t>
      </w:r>
    </w:p>
    <w:p>
      <w:pPr>
        <w:spacing w:after="60" w:before="60"/>
      </w:pPr>
      <w:r>
        <w:rPr>
          <w:rFonts w:ascii="Arial" w:cs="Arial" w:eastAsia="Arial" w:hAnsi="Arial"/>
          <w:b w:val="false"/>
          <w:bCs w:val="false"/>
          <w:color w:val="000000"/>
          <w:sz w:val="20"/>
          <w:szCs w:val="20"/>
        </w:rPr>
        <w:t xml:space="preserve">The Auction Control Centre gives iTarang admin real-time control over all live auction lots. It is the power screen for managing recovered battery resale.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Admin Action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 Time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[+15m / +30m / +1h] — extends lot closing countdown. Reason required. Logged.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 Time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[-15m / End Now] — accelerates closing. Requires MFA + confirmation modal.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Pause Auction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Temporarily suspends bidding. Countdown frozen. Bidders notified.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Reserve Price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Sets or changes the minimum winning bid. Pre-bid only. Logged with before/after.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 Winning Bid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Post-auction: confirms winning bidder. Triggers payment collection flow.</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Cancel Lot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Removes lot from auction. Requires MFA + dual approval + mandatory reason. Battery returns to inventory.</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6.3.5 Admin Audit Log</w:t>
      </w:r>
    </w:p>
    <w:p>
      <w:pPr>
        <w:spacing w:after="60" w:before="60"/>
      </w:pPr>
      <w:r>
        <w:rPr>
          <w:rFonts w:ascii="Arial" w:cs="Arial" w:eastAsia="Arial" w:hAnsi="Arial"/>
          <w:b w:val="false"/>
          <w:bCs w:val="false"/>
          <w:color w:val="000000"/>
          <w:sz w:val="20"/>
          <w:szCs w:val="20"/>
        </w:rPr>
        <w:t xml:space="preserve">The Audit Log is the compliance spine of the platform. Every privileged action across the system is recorded here — immutable, timestamped, and filterable. No record can be deleted or edited.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60"/>
        <w:gridCol w:w="1600"/>
        <w:gridCol w:w="18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Filterable?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2026-07-28 10:32:14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date range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IMEI / Entity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BAT12345 / NBFC-001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context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search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IMMOBILIZATION_REQUESTED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type ENUM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type filter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Standardised action codes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Reason Code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EMI overdue + high CDS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Mandatory dropdown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Requested By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Rajan Kumar (NBFC Risk Mgr)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token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user filter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By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Priya Sharma (Risk Head)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 approver JWT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Blank if single-approval action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 Status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Executed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Outcome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Executed | ⏳ Pending | ❌ Rejected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GET /api/audit-log</w:t>
            </w:r>
          </w:p>
          <w:p>
            <w:pPr>
              <w:spacing w:after="18" w:before="18"/>
            </w:pPr>
            <w:r>
              <w:rPr>
                <w:rFonts w:ascii="Courier New" w:cs="Courier New" w:eastAsia="Courier New" w:hAnsi="Courier New"/>
                <w:color w:val="1a1a2e"/>
                <w:sz w:val="16"/>
                <w:szCs w:val="16"/>
              </w:rPr>
              <w:t xml:space="preserve">     ?from=2026-07-01&amp;to=2026-07-28</w:t>
            </w:r>
          </w:p>
          <w:p>
            <w:pPr>
              <w:spacing w:after="18" w:before="18"/>
            </w:pPr>
            <w:r>
              <w:rPr>
                <w:rFonts w:ascii="Courier New" w:cs="Courier New" w:eastAsia="Courier New" w:hAnsi="Courier New"/>
                <w:color w:val="1a1a2e"/>
                <w:sz w:val="16"/>
                <w:szCs w:val="16"/>
              </w:rPr>
              <w:t xml:space="preserve">     &amp;action=IMMOBILIZATION_REQUESTED</w:t>
            </w:r>
          </w:p>
          <w:p>
            <w:pPr>
              <w:spacing w:after="18" w:before="18"/>
            </w:pPr>
            <w:r>
              <w:rPr>
                <w:rFonts w:ascii="Courier New" w:cs="Courier New" w:eastAsia="Courier New" w:hAnsi="Courier New"/>
                <w:color w:val="1a1a2e"/>
                <w:sz w:val="16"/>
                <w:szCs w:val="16"/>
              </w:rPr>
              <w:t xml:space="preserve">     &amp;requestedBy=user_id</w:t>
            </w:r>
          </w:p>
          <w:p>
            <w:pPr>
              <w:spacing w:after="18" w:before="18"/>
            </w:pPr>
            <w:r>
              <w:rPr>
                <w:rFonts w:ascii="Courier New" w:cs="Courier New" w:eastAsia="Courier New" w:hAnsi="Courier New"/>
                <w:color w:val="1a1a2e"/>
                <w:sz w:val="16"/>
                <w:szCs w:val="16"/>
              </w:rPr>
              <w:t xml:space="preserve">     &amp;status=executed|pending|rejected</w:t>
            </w:r>
          </w:p>
          <w:p>
            <w:pPr>
              <w:spacing w:after="18" w:before="18"/>
            </w:pPr>
            <w:r>
              <w:rPr>
                <w:rFonts w:ascii="Courier New" w:cs="Courier New" w:eastAsia="Courier New" w:hAnsi="Courier New"/>
                <w:color w:val="1a1a2e"/>
                <w:sz w:val="16"/>
                <w:szCs w:val="16"/>
              </w:rPr>
              <w:t xml:space="preserve">     &amp;entityId=BAT12345</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Auth: Admin JWT only. NBFC JWT: returns only that NBFC's actions.</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Export: &amp;format=csv  (requires MFA re-confirmation + purpose declaration)</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CRM — Section 6.4</w:t>
            </w:r>
          </w:p>
          <w:p>
            <w:pPr>
              <w:jc w:val="center"/>
            </w:pPr>
            <w:r>
              <w:rPr>
                <w:rFonts w:ascii="Arial" w:cs="Arial" w:eastAsia="Arial" w:hAnsi="Arial"/>
                <w:b/>
                <w:bCs/>
                <w:color w:val="FFFFFF"/>
                <w:sz w:val="34"/>
                <w:szCs w:val="34"/>
              </w:rPr>
              <w:t xml:space="preserve">Compliance &amp; RBI Rules</w:t>
            </w:r>
          </w:p>
          <w:p>
            <w:pPr>
              <w:jc w:val="center"/>
            </w:pPr>
            <w:r>
              <w:rPr>
                <w:rFonts w:ascii="Arial" w:cs="Arial" w:eastAsia="Arial" w:hAnsi="Arial"/>
                <w:color w:val="F4F7FA"/>
                <w:sz w:val="18"/>
                <w:szCs w:val="18"/>
              </w:rPr>
              <w:t xml:space="preserve">RBI Digital Lending Directions 2025 · DPDPA · Borrower Notice · Dual Approval · Grievance</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6.4.1 REGULATORY FRAMEWORK</w:t>
      </w:r>
    </w:p>
    <w:p>
      <w:pPr>
        <w:pBdr>
          <w:bottom w:val="single" w:color="165e73"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rFonts w:ascii="Arial" w:cs="Arial" w:eastAsia="Arial" w:hAnsi="Arial"/>
                <w:b/>
                <w:bCs/>
                <w:color w:val="C0392B"/>
                <w:sz w:val="20"/>
                <w:szCs w:val="20"/>
              </w:rPr>
              <w:t xml:space="preserve">Non-Negotiable</w:t>
            </w:r>
          </w:p>
          <w:p>
            <w:pPr>
              <w:spacing w:before="60"/>
            </w:pPr>
            <w:r>
              <w:rPr>
                <w:rFonts w:ascii="Arial" w:cs="Arial" w:eastAsia="Arial" w:hAnsi="Arial"/>
                <w:sz w:val="19"/>
                <w:szCs w:val="19"/>
              </w:rPr>
              <w:t xml:space="preserve">Every screen, API, and workflow that touches a borrower's account, asset, or financial standing must comply with RBI Digital Lending Directions 2025, the Fair Practices Code, and India's Digital Personal Data Protection Act (DPDPA) 2023. These are not optional features — non-compliance creates regulatory and legal liability for both iTarang (as LSP) and the NBFC (as lender).</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6.4.2 Mandatory Compliance Elements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Where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Lender Identity (NBFC legal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borrower communication previews. Borrower notice in immobilisation confirmation.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LSP Identity ('iTarang Battery Solutions')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borrower communication previews. Every collection/recovery communication.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Outstanding Amount + Restoration Steps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Immobilisation borrower notice. Collection reminder SMS template.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Grievance Channel URL + Helpline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Immobilisation notice, every borrower SMS, NBFC portal footer, every collection interaction.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Plain, Non-Coercive Language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borrower-facing communications. Recovery calls, field visit instructions, SMS templates — reviewed against FPC.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Reversibility Disclosure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Immobilisation confirmation screen: 'Battery can be re-mobilised within 2–4 hours after EMI settlement + dual approval.'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Purpose Display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screen showing telemetry data: 'Why we use this data: loan risk assessment per your consent dated [date]. Withdraw consent →'</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Regulatory Footer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compliance-sensitive screen: 'This action complies with RBI Digital Lending Directions 2025 and Fair Practices Code.'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 Entry Preview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borrower-impacting action shows what will be logged before admin confirms: 'Will log: timestamp · IMEI · action · reason · requested by · approver · borrower notice record'</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6.4.3 Dual Approval Gate Specification</w:t>
      </w:r>
    </w:p>
    <w:p>
      <w:pPr>
        <w:spacing w:after="60" w:before="60"/>
      </w:pPr>
      <w:r>
        <w:rPr>
          <w:rFonts w:ascii="Arial" w:cs="Arial" w:eastAsia="Arial" w:hAnsi="Arial"/>
          <w:b w:val="false"/>
          <w:bCs w:val="false"/>
          <w:color w:val="000000"/>
          <w:sz w:val="20"/>
          <w:szCs w:val="20"/>
        </w:rPr>
        <w:t xml:space="preserve">The following actions require dual approval — two separate admin/NBFC users must independently confirm before the action executes. First approval submits for review. Second approval executes. No action between the two states changes the outcome.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Approver 1</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Approver 2</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Immobilisation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Manager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Head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 Restructuring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Manager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Credit Manager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Rule Threshold Change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Risk Head / Super Admin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Bulk Immobilisation (&gt;5 batteries)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Head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Auction Lot Cancellation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Ops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Super Admin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 Data Export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Requestor (MFA)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Compliance Officer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PII Data Access (full Aadhaar/PAN 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Requestor (MFA)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Compliance Officer</w:t>
            </w:r>
          </w:p>
        </w:tc>
      </w:tr>
    </w:tbl>
    <w:p>
      <w:pPr>
        <w:spacing w:after="0" w:before="80"/>
      </w:pPr>
      <w:r>
        <w:t xml:space="preserve"/>
      </w:r>
    </w:p>
    <w:p>
      <w:pPr>
        <w:pStyle w:val="Heading3"/>
        <w:spacing w:after="80" w:before="200"/>
      </w:pPr>
      <w:r>
        <w:rPr>
          <w:rFonts w:ascii="Arial" w:cs="Arial" w:eastAsia="Arial" w:hAnsi="Arial"/>
          <w:b/>
          <w:bCs/>
          <w:color w:val="138fc6"/>
          <w:sz w:val="24"/>
          <w:szCs w:val="24"/>
        </w:rPr>
        <w:t xml:space="preserve">Dual Approval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Initiator requests action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Fills action form. Reviews borrower notice preview. Selects reason code. Confirms 'I have reviewed all evidence'.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creates pending approval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status = 'pending_approval'. Approver 2 notified via dashboard alert + email with action details and evidence summary.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Approver 2 reviews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 pending approval request. Sees full evidence panel (CDS, EMI history, telemetry, borrower notice). Cannot edit — can only Approve or Reject.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executes. Audit log entry created with both users, timestamps, reason, evidence snapshot. Borrower notified if applicable.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cancelled. Initiator notified with rejection reason. Audit log records rejection.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Timeout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Approver 2 does not act within 24 hours: action auto-expires. Initiator notified. Re-initiation required.</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6.4.4 DPDPA 2023 — Data Protection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Obligation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Fiduciary Registration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must register as a Data Fiduciary with the Data Protection Board of India before processing Aadhaar, PAN, and telemetry data at scale. Requires privacy counsel review before go-live.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Before Collection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Digital/manual consent captured in KYC Step 2 (Section 2 BRD). Consent record stored with timestamp, scope ('loan processing, risk assessment, warranty management'), and withdrawal mechanism.</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Purpose Limitation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data is used only for: (1) loan risk assessment, (2) warranty activation, (3) after-sales service. Any new purpose requires fresh consent. Purpose displayed on all telemetry-facing screens.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Minimisation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Only fields necessary for loan processing are collected. IoT data fields not needed for risk scoring are not stored in the CRM (stored only in IoT backend).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Retention Policy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KYC documents: 7 years from lead creation (RBI + IT Act). Telemetry: raw events 2 years; daily summaries retained indefinitely. After retention period: automated deletion with tombstone record.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Right to Withdraw Consent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can request consent withdrawal. Effect: no new telemetry used for risk scoring; existing loan obligations remain. Process: customer contacts NBFC grievance channel.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Localisation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data stored on servers located in India. S3 bucket region: ap-south-1 (Mumbai). No cross-border transfer without explicit consent.</w:t>
            </w:r>
          </w:p>
        </w:tc>
      </w:tr>
    </w:tbl>
    <w:p>
      <w:pPr>
        <w:spacing w:after="0" w:before="120"/>
      </w:pPr>
      <w:r>
        <w:t xml:space="preserve"/>
      </w:r>
    </w:p>
    <w:p>
      <w:pPr>
        <w:pStyle w:val="Heading2"/>
        <w:spacing w:after="120" w:before="300"/>
      </w:pPr>
      <w:r>
        <w:rPr>
          <w:rFonts w:ascii="Arial" w:cs="Arial" w:eastAsia="Arial" w:hAnsi="Arial"/>
          <w:b/>
          <w:bCs/>
          <w:color w:val="165e73"/>
          <w:sz w:val="28"/>
          <w:szCs w:val="28"/>
        </w:rPr>
        <w:t xml:space="preserve">6.4.5 CDS / PCI Score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38fc6"/>
                <w:sz w:val="20"/>
                <w:szCs w:val="20"/>
              </w:rPr>
              <w:t xml:space="preserve">Every Score Must Be Explainable</w:t>
            </w:r>
          </w:p>
          <w:p>
            <w:pPr>
              <w:spacing w:before="60"/>
            </w:pPr>
            <w:r>
              <w:rPr>
                <w:rFonts w:ascii="Arial" w:cs="Arial" w:eastAsia="Arial" w:hAnsi="Arial"/>
                <w:sz w:val="19"/>
                <w:szCs w:val="19"/>
              </w:rPr>
              <w:t xml:space="preserve">CDS and PCI scores are not black boxes. Every score badge in the NBFC portal is clickable and opens a side drawer with: the formula, the input table (last 6 EMIs with individual contribution), confidence level with explanation of when NOT to trust it, and an override path. Overrides require a documented reason, are logged, but do not change the computed score.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Explainability Element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Formula display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Plain-language formula shown in drawer: 'CDS = sum of EMI weights × recency multipliers + streak penalty, scaled 0–100'.</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table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 6 EMIs: Due Date | Amount | Status | Days Late | Contribution to Score. Newest first.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level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 MEDIUM / LOW badge with explanation. LOW shown when: &lt;3 EMI records | recent restructuring | force majeure flag | IoT offline &gt;48h.</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When NOT to trust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'Insufficient history (&lt;3 EMIs) · Recent restructuring · Declared force majeure · Manual override active'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Override path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Manager can override with documented reason. Override logged but does not change computed score.' Override visible in audit log.</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Arial" w:cs="Arial" w:eastAsia="Arial" w:hAnsi="Arial"/>
          <w:b/>
          <w:bCs/>
          <w:color w:val="02314e"/>
          <w:sz w:val="38"/>
          <w:szCs w:val="38"/>
        </w:rPr>
        <w:t xml:space="preserve">6.5 COMPLETE WORKFLOW SUMMARY</w:t>
      </w:r>
    </w:p>
    <w:p>
      <w:pPr>
        <w:pBdr>
          <w:bottom w:val="single" w:color="165e73"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&amp; Outcome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Onboarding: creates NBFC record, uploads 11 compliance docs, configures loan products. Initiates LSP Agreement via Digio (sequential: NBFC → iTarang1 → iTarang2). On COMPLETED: NBFC status → active. Portal credentials sent.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Assigns NBFC to dealer via dealer_nbfc_assignments table. Only then does this NBFC appear in that dealer's loan sanction dropdown.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Creates lead, completes KYC. Step 4: selects battery (from IoT-linked inventory — SOC shown). Submits for finance approval.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Sanctions loan: enters loan amount, EMI, tenure, ROI, selects active NBFC from dropdown. loan_sanctions.nbfc_id FK set. loan_sanctions.lsp_agreement_id FK set.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 + Customer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 5: Dealer reviews loan terms with customer. Customer OTP confirms dispatch. Inventory → sold. Warranty activated. After-sales record opened.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IoT Device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 in field: transmits telemetry every 15 minutes. iot_devices updated. telemetry_events written. Daily summaries aggregated. If inter-dealer transfer occurs: iot_devices.dealer_id updated in same transaction.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Portal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logs in. Sees portfolio overview filtered by nbfc_id FK on loan_sanctions. Battery monitoring shows live SOC and SOH. CDS / PCI scores computed nightly.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rules evaluated on every ingestion. If usage drop &gt;40%, battery offline &gt;24h, or geo-shift &gt;100km: alert generated. NBFC notified.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Mgr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Reviews high-CDS account. Requests immobilisation with borrower notice preview. Submits for dual approval.</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Risk Head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Approves immobilisation. Audit log entry created with both approvers, reason, borrower notice record.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iTarang Admin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Ecosystem overview: cross-NBFC delinquency comparison. Adjusts risk thresholds (dual approval). Manages auction lots.</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Arial" w:cs="Arial" w:eastAsia="Arial" w:hAnsi="Arial"/>
                <w:color w:val="D6EAF8"/>
                <w:sz w:val="18"/>
                <w:szCs w:val="18"/>
              </w:rPr>
              <w:t xml:space="preserve">iTarang CRM — Section 6.S</w:t>
            </w:r>
          </w:p>
          <w:p>
            <w:pPr>
              <w:jc w:val="center"/>
            </w:pPr>
            <w:r>
              <w:rPr>
                <w:rFonts w:ascii="Arial" w:cs="Arial" w:eastAsia="Arial" w:hAnsi="Arial"/>
                <w:b/>
                <w:bCs/>
                <w:color w:val="FFFFFF"/>
                <w:sz w:val="34"/>
                <w:szCs w:val="34"/>
              </w:rPr>
              <w:t xml:space="preserve">Cross-Document Sync Audit</w:t>
            </w:r>
          </w:p>
          <w:p>
            <w:pPr>
              <w:jc w:val="center"/>
            </w:pPr>
            <w:r>
              <w:rPr>
                <w:rFonts w:ascii="Arial" w:cs="Arial" w:eastAsia="Arial" w:hAnsi="Arial"/>
                <w:color w:val="F4F7FA"/>
                <w:sz w:val="18"/>
                <w:szCs w:val="18"/>
              </w:rPr>
              <w:t xml:space="preserve">V2-24th-Feb-2 (Dealer Onboarding) vs Section 6 — 10 Gaps Found &amp; Resolved</w:t>
            </w:r>
          </w:p>
        </w:tc>
      </w:tr>
    </w:tbl>
    <w:p>
      <w:pPr>
        <w:spacing w:after="0" w:before="200"/>
      </w:pPr>
      <w:r>
        <w:t xml:space="preserve"/>
      </w:r>
    </w:p>
    <w:p>
      <w:pPr>
        <w:pStyle w:val="Heading1"/>
        <w:spacing w:after="160" w:before="400"/>
      </w:pPr>
      <w:r>
        <w:rPr>
          <w:rFonts w:ascii="Arial" w:cs="Arial" w:eastAsia="Arial" w:hAnsi="Arial"/>
          <w:b/>
          <w:bCs/>
          <w:color w:val="02314e"/>
          <w:sz w:val="38"/>
          <w:szCs w:val="38"/>
        </w:rPr>
        <w:t xml:space="preserve">6.S.1 AUDIT SCOPE &amp; METHODOLOGY</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This section documents the cross-reference audit between the Dealer Onboarding BRD (V2-24th-Feb-2) and Section 6 of the CRM BRD. V2-24th-Feb-2 defines dealer onboarding (6-step), Digio eSign, admin review console, and dealer activation. Section 6 defines NBFC onboarding, NBFC portal, telemetry, and iTarang admin control. 10 gaps were identified and resolved inline throughout this document.</w:t>
      </w:r>
    </w:p>
    <w:p>
      <w:pPr>
        <w:spacing w:after="0" w:before="80"/>
      </w:pPr>
      <w:r>
        <w:t xml:space="preserve"/>
      </w:r>
    </w:p>
    <w:p>
      <w:pPr>
        <w:pStyle w:val="Heading1"/>
        <w:spacing w:after="160" w:before="400"/>
      </w:pPr>
      <w:r>
        <w:rPr>
          <w:rFonts w:ascii="Arial" w:cs="Arial" w:eastAsia="Arial" w:hAnsi="Arial"/>
          <w:b/>
          <w:bCs/>
          <w:color w:val="02314e"/>
          <w:sz w:val="38"/>
          <w:szCs w:val="38"/>
        </w:rPr>
        <w:t xml:space="preserve">6.S.2 GAP REGISTER — ALL 10 ISSUES</w:t>
      </w:r>
    </w:p>
    <w:p>
      <w:pPr>
        <w:pBdr>
          <w:bottom w:val="single" w:color="165e73"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1760"/>
        <w:gridCol w:w="2200"/>
        <w:gridCol w:w="8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 / Conflict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Onboarding — no Digio LSP Agreement step</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6.0 original 5-step flow had no LSP Agreement signing. Dealer onboarding (V2-24th-Feb-2 Step 5) has full Digio integration. NBFC onboarding must also use Digio for LSP Agreement.</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6.0.2 vs V2-24th-Feb-2 Sec 5</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6.0.2 revised to 6-step. Step 4 = Digio LSP Agreement. Section 6.0.4a added: full Digio API spec, nbfc_lsp_agreements schema, 3-signer sequential flow.</w:t>
            </w:r>
          </w:p>
        </w:tc>
        <w:tc>
          <w:tcPr>
            <w:tcW w:type="dxa" w:w="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B45309"/>
                <w:sz w:val="16"/>
                <w:szCs w:val="16"/>
              </w:rPr>
              <w:t xml:space="preserve">HIGH</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status ENUM had extra intermediate states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'documents_pending' and 'pending_review' had no equivalents in dealer pattern, creating inconsistency across platform onboarding statuses.</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6.0.6 vs V2-24th-Feb-2 App Status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6.0.6 revised: merged to 'pending_admin_review'. Status table now shows mapping to V2-24th-Feb-2 equivalents.</w:t>
            </w:r>
          </w:p>
        </w:tc>
        <w:tc>
          <w:tcPr>
            <w:tcW w:type="dxa" w:w="8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600A"/>
                <w:sz w:val="16"/>
                <w:szCs w:val="16"/>
              </w:rPr>
              <w:t xml:space="preserve">MEDIUM</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G-03</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 had no nbfc_id FK — free text NBFC name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loan_sanctions.loan_approved_by was VARCHAR free text. NBFC portal couldn't filter its own loans. Any string accepted as lender.</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3.2.2 loan_sanctions vs Section 6.0.7</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loan_sanctions.nbfc_id INT FK added (references nbfc.id). loan_approved_by retained as snapshot. Corrected schema in Section 6.S.3.</w:t>
            </w:r>
          </w:p>
        </w:tc>
        <w:tc>
          <w:tcPr>
            <w:tcW w:type="dxa" w:w="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 not linked to LSP Agreement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audit trail from a loan transaction to the LSP Agreement that governs it.</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6.0 vs loan_sanctions schema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loan_sanctions.lsp_agreement_id FK added → nbfc_lsp_agreements.id. See Section 6.S.3.</w:t>
            </w:r>
          </w:p>
        </w:tc>
        <w:tc>
          <w:tcPr>
            <w:tcW w:type="dxa" w:w="8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600A"/>
                <w:sz w:val="16"/>
                <w:szCs w:val="16"/>
              </w:rPr>
              <w:t xml:space="preserve">MEDIUM</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G-05</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dealer-NBFC assignment — finance-enabled dealers could have no lenders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 enablement flag on dealer had no link to specific NBFCs. Loan sanction dropdown could be empty.</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V2-24th-Feb-2 Step 4 vs Section 6.0</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dealer_nbfc_assignments junction table. Specified in Section 6.0.8.</w:t>
            </w:r>
          </w:p>
        </w:tc>
        <w:tc>
          <w:tcPr>
            <w:tcW w:type="dxa" w:w="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B45309"/>
                <w:sz w:val="16"/>
                <w:szCs w:val="16"/>
              </w:rPr>
              <w:t xml:space="preserve">HIGH</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G-06</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Two Digio webhook endpoints would conflict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V2-24th-Feb-2 defines POST /api/webhooks/digio for dealer agreements. Section 6.0 (post G-01 fix) also needs Digio for NBFC agreements — same endpoint.</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V2-24th-Feb-2 Sec 8 vs Section 6.0.4a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Unified webhook with callback-based routing: 'APP_{id}' → dealer, 'NBFC_{id}' → NBFC. Section 6.S.5.</w:t>
            </w:r>
          </w:p>
        </w:tc>
        <w:tc>
          <w:tcPr>
            <w:tcW w:type="dxa" w:w="8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600A"/>
                <w:sz w:val="16"/>
                <w:szCs w:val="16"/>
              </w:rPr>
              <w:t xml:space="preserve">MEDIUM</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iot_devices.dealer_id not updated on inter-dealer transfer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Inventory transfer updates inventory.dealer_id but not iot_devices.dealer_id. NBFC battery monitoring shows wrong dealer.</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6.2 iot_devices vs Section 5.0.8 transfer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iot_devices.dealer_id update added to acknowledge-transfer transaction. Section 6.S.6.</w:t>
            </w:r>
          </w:p>
        </w:tc>
        <w:tc>
          <w:tcPr>
            <w:tcW w:type="dxa" w:w="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B45309"/>
                <w:sz w:val="16"/>
                <w:szCs w:val="16"/>
              </w:rPr>
              <w:t xml:space="preserve">HIGH</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G-08</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agreement_status ENUM not shared between dealer and NBFC agreements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V2-24th-Feb-2 defines a 7-state agreement_status ENUM. NBFC LSP Agreement needs the same states.</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V2-24th-Feb-2 agreement lifecycle vs Section 6.0.4a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nbfc_lsp_agreements.agreement_status uses identical 7-state ENUM from V2-24th-Feb-2. Specified in Section 6.0.4a.</w:t>
            </w:r>
          </w:p>
        </w:tc>
        <w:tc>
          <w:tcPr>
            <w:tcW w:type="dxa" w:w="8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600A"/>
                <w:sz w:val="16"/>
                <w:szCs w:val="16"/>
              </w:rPr>
              <w:t xml:space="preserve">MEDIUM</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G-09</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portal lead intelligence had no reliable join to loans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Without nbfc_id FK on loan_sanctions, the NBFC portal query could not filter its own loans.</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6.1.4 vs loan_sanctions schema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by G-03. NBFC portal now queries: SELECT leads.* JOIN loan_sanctions WHERE nbfc_id = :nbfcId.</w:t>
            </w:r>
          </w:p>
        </w:tc>
        <w:tc>
          <w:tcPr>
            <w:tcW w:type="dxa" w:w="8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CRITICAL</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G-10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funnel had no data source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6.3 'Partner Network Growth' funnel referenced dealer conversion stages but no join to dealer_applications table from V2-24th-Feb-2.</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65e73"/>
                <w:sz w:val="20"/>
                <w:szCs w:val="20"/>
              </w:rPr>
              <w:t xml:space="preserve">Section 6.3.1 vs V2-24th-Feb-2 Application Status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funnel maps to dealer_applications.status: Draft → Submitted → Pending Admin Review → Approved → Active → Rejected.</w:t>
            </w:r>
          </w:p>
        </w:tc>
        <w:tc>
          <w:tcPr>
            <w:tcW w:type="dxa" w:w="8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600A"/>
                <w:sz w:val="16"/>
                <w:szCs w:val="16"/>
              </w:rPr>
              <w:t xml:space="preserve">LOW</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Arial" w:cs="Arial" w:eastAsia="Arial" w:hAnsi="Arial"/>
          <w:b/>
          <w:bCs/>
          <w:color w:val="02314e"/>
          <w:sz w:val="38"/>
          <w:szCs w:val="38"/>
        </w:rPr>
        <w:t xml:space="preserve">6.S.3 CORRECTED SCHEMA — loan_sanctions (G-03, G-04, G-09)</w:t>
      </w:r>
    </w:p>
    <w:p>
      <w:pPr>
        <w:pBdr>
          <w:bottom w:val="single" w:color="165e73"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rFonts w:ascii="Arial" w:cs="Arial" w:eastAsia="Arial" w:hAnsi="Arial"/>
                <w:b/>
                <w:bCs/>
                <w:color w:val="C0392B"/>
                <w:sz w:val="20"/>
                <w:szCs w:val="20"/>
              </w:rPr>
              <w:t xml:space="preserve">Why Critical</w:t>
            </w:r>
          </w:p>
          <w:p>
            <w:pPr>
              <w:spacing w:before="60"/>
            </w:pPr>
            <w:r>
              <w:rPr>
                <w:rFonts w:ascii="Arial" w:cs="Arial" w:eastAsia="Arial" w:hAnsi="Arial"/>
                <w:sz w:val="19"/>
                <w:szCs w:val="19"/>
              </w:rPr>
              <w:t xml:space="preserve">loan_sanctions.loan_approved_by was free text — any string could be entered as a lender. Adding nbfc_id FK enforces that only active NBFCs can be selected, enables NBFC portal filtering, and links every loan to the LSP Agreement that governs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LS-YYYY-LEADREF</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references leads.id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product_selection_id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references product_selections.id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G-03 FIX — references nbfc.id. INDEXED. Only active NBFCs selectable. Drives NBFC portal filtering.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lsp_agreement_id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G-04 FIX — references nbfc_lsp_agreements.id. Links loan to governing LSP Agreement.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loan_amount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sanctioned loan value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down_payment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file_charge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subvention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if none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disbursement_amount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to dealer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emi</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instalment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tenure_months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roi</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rate of interest %</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loan_approved_by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Snapshot of nbfc.short_name at sanction time — retained for display even if NBFC name later changes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loan_file_number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NBFC's own reference number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sanctioned_by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sanctioned_at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dealer_approved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 DEFAULT FALSE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TRUE when dealer approves loan at Step 5</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dealer_approved_at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dealer_approved_by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NULL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disbursed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 DEFAULT FALSE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disbursed_at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'pending_dealer_approval'|'dealer_approved'|'disbursed'|'cancelled'</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Arial" w:cs="Arial" w:eastAsia="Arial" w:hAnsi="Arial"/>
          <w:b/>
          <w:bCs/>
          <w:color w:val="02314e"/>
          <w:sz w:val="38"/>
          <w:szCs w:val="38"/>
        </w:rPr>
        <w:t xml:space="preserve">6.S.4 CORRECTED — Digio Webhook Unified Routing (G-06)</w:t>
      </w:r>
    </w:p>
    <w:p>
      <w:pPr>
        <w:pBdr>
          <w:bottom w:val="single" w:color="165e73"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Unified webhook — POST /api/webhooks/digio</w:t>
            </w:r>
          </w:p>
          <w:p>
            <w:pPr>
              <w:spacing w:after="18" w:before="18"/>
            </w:pPr>
            <w:r>
              <w:rPr>
                <w:rFonts w:ascii="Courier New" w:cs="Courier New" w:eastAsia="Courier New" w:hAnsi="Courier New"/>
                <w:color w:val="1a1a2e"/>
                <w:sz w:val="16"/>
                <w:szCs w:val="16"/>
              </w:rPr>
              <w:t xml:space="preserve">// Handles both dealer agreement events AND NBFC LSP agreement events.</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Routing by callback field set at create_sign_request time:</w:t>
            </w:r>
          </w:p>
          <w:p>
            <w:pPr>
              <w:spacing w:after="18" w:before="18"/>
            </w:pPr>
            <w:r>
              <w:rPr>
                <w:rFonts w:ascii="Courier New" w:cs="Courier New" w:eastAsia="Courier New" w:hAnsi="Courier New"/>
                <w:color w:val="1a1a2e"/>
                <w:sz w:val="16"/>
                <w:szCs w:val="16"/>
              </w:rPr>
              <w:t xml:space="preserve">  callback = 'APP_{dealer_application_id}'  → dealer flow (V2-24th-Feb-2 Sec 8)</w:t>
            </w:r>
          </w:p>
          <w:p>
            <w:pPr>
              <w:spacing w:after="18" w:before="18"/>
            </w:pPr>
            <w:r>
              <w:rPr>
                <w:rFonts w:ascii="Courier New" w:cs="Courier New" w:eastAsia="Courier New" w:hAnsi="Courier New"/>
                <w:color w:val="1a1a2e"/>
                <w:sz w:val="16"/>
                <w:szCs w:val="16"/>
              </w:rPr>
              <w:t xml:space="preserve">  callback = 'NBFC_{nbfc_id}'               → NBFC LSP Agreement flow</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Dealer flow (unchanged from V2-24th-Feb-2):</w:t>
            </w:r>
          </w:p>
          <w:p>
            <w:pPr>
              <w:spacing w:after="18" w:before="18"/>
            </w:pPr>
            <w:r>
              <w:rPr>
                <w:rFonts w:ascii="Courier New" w:cs="Courier New" w:eastAsia="Courier New" w:hAnsi="Courier New"/>
                <w:color w:val="1a1a2e"/>
                <w:sz w:val="16"/>
                <w:szCs w:val="16"/>
              </w:rPr>
              <w:t xml:space="preserve">  → Update dealer_agreements.agreement_status</w:t>
            </w:r>
          </w:p>
          <w:p>
            <w:pPr>
              <w:spacing w:after="18" w:before="18"/>
            </w:pPr>
            <w:r>
              <w:rPr>
                <w:rFonts w:ascii="Courier New" w:cs="Courier New" w:eastAsia="Courier New" w:hAnsi="Courier New"/>
                <w:color w:val="1a1a2e"/>
                <w:sz w:val="16"/>
                <w:szCs w:val="16"/>
              </w:rPr>
              <w:t xml:space="preserve">  → On SIGNED/COMPLETED: fetch + store signed PDF + audit trail</w:t>
            </w:r>
          </w:p>
          <w:p>
            <w:pPr>
              <w:spacing w:after="18" w:before="18"/>
            </w:pPr>
            <w:r>
              <w:rPr>
                <w:rFonts w:ascii="Courier New" w:cs="Courier New" w:eastAsia="Courier New" w:hAnsi="Courier New"/>
                <w:color w:val="1a1a2e"/>
                <w:sz w:val="16"/>
                <w:szCs w:val="16"/>
              </w:rPr>
              <w:t xml:space="preserve">     s3://bucket/dealers/{dealerId}/agreements/{id}_signed.pdf</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NBFC flow (new):</w:t>
            </w:r>
          </w:p>
          <w:p>
            <w:pPr>
              <w:spacing w:after="18" w:before="18"/>
            </w:pPr>
            <w:r>
              <w:rPr>
                <w:rFonts w:ascii="Courier New" w:cs="Courier New" w:eastAsia="Courier New" w:hAnsi="Courier New"/>
                <w:color w:val="1a1a2e"/>
                <w:sz w:val="16"/>
                <w:szCs w:val="16"/>
              </w:rPr>
              <w:t xml:space="preserve">  → Update nbfc_lsp_agreements.agreement_status</w:t>
            </w:r>
          </w:p>
          <w:p>
            <w:pPr>
              <w:spacing w:after="18" w:before="18"/>
            </w:pPr>
            <w:r>
              <w:rPr>
                <w:rFonts w:ascii="Courier New" w:cs="Courier New" w:eastAsia="Courier New" w:hAnsi="Courier New"/>
                <w:color w:val="1a1a2e"/>
                <w:sz w:val="16"/>
                <w:szCs w:val="16"/>
              </w:rPr>
              <w:t xml:space="preserve">  → On SIGNED/COMPLETED: fetch + store signed PDF + audit trail</w:t>
            </w:r>
          </w:p>
          <w:p>
            <w:pPr>
              <w:spacing w:after="18" w:before="18"/>
            </w:pPr>
            <w:r>
              <w:rPr>
                <w:rFonts w:ascii="Courier New" w:cs="Courier New" w:eastAsia="Courier New" w:hAnsi="Courier New"/>
                <w:color w:val="1a1a2e"/>
                <w:sz w:val="16"/>
                <w:szCs w:val="16"/>
              </w:rPr>
              <w:t xml:space="preserve">     s3://bucket/nbfc/{nbfcId}/lsp-agreements/{id}_signed.pdf</w:t>
            </w:r>
          </w:p>
          <w:p>
            <w:pPr>
              <w:spacing w:after="18" w:before="18"/>
            </w:pPr>
            <w:r>
              <w:rPr>
                <w:rFonts w:ascii="Courier New" w:cs="Courier New" w:eastAsia="Courier New" w:hAnsi="Courier New"/>
                <w:color w:val="1a1a2e"/>
                <w:sz w:val="16"/>
                <w:szCs w:val="16"/>
              </w:rPr>
              <w:t xml:space="preserve">  → If COMPLETED: check if all compliance docs also verified</w:t>
            </w:r>
          </w:p>
          <w:p>
            <w:pPr>
              <w:spacing w:after="18" w:before="18"/>
            </w:pPr>
            <w:r>
              <w:rPr>
                <w:rFonts w:ascii="Courier New" w:cs="Courier New" w:eastAsia="Courier New" w:hAnsi="Courier New"/>
                <w:color w:val="1a1a2e"/>
                <w:sz w:val="16"/>
                <w:szCs w:val="16"/>
              </w:rPr>
              <w:t xml:space="preserve">     If yes: enable admin Approve button for this NBFC</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Error handling: identical for both flows</w:t>
            </w:r>
          </w:p>
          <w:p>
            <w:pPr>
              <w:spacing w:after="18" w:before="18"/>
            </w:pPr>
            <w:r>
              <w:rPr>
                <w:rFonts w:ascii="Courier New" w:cs="Courier New" w:eastAsia="Courier New" w:hAnsi="Courier New"/>
                <w:color w:val="1a1a2e"/>
                <w:sz w:val="16"/>
                <w:szCs w:val="16"/>
              </w:rPr>
              <w:t xml:space="preserve">  3 retry attempts with exponential backoff</w:t>
            </w:r>
          </w:p>
          <w:p>
            <w:pPr>
              <w:spacing w:after="18" w:before="18"/>
            </w:pPr>
            <w:r>
              <w:rPr>
                <w:rFonts w:ascii="Courier New" w:cs="Courier New" w:eastAsia="Courier New" w:hAnsi="Courier New"/>
                <w:color w:val="1a1a2e"/>
                <w:sz w:val="16"/>
                <w:szCs w:val="16"/>
              </w:rPr>
              <w:t xml:space="preserve">  On DOWNLOAD_FAILED: alert admin, show 'Retry Download' button in UI</w:t>
            </w:r>
          </w:p>
          <w:p>
            <w:pPr>
              <w:spacing w:after="18" w:before="18"/>
            </w:pPr>
            <w:r>
              <w:rPr>
                <w:rFonts w:ascii="Courier New" w:cs="Courier New" w:eastAsia="Courier New" w:hAnsi="Courier New"/>
                <w:color w:val="1a1a2e"/>
                <w:sz w:val="16"/>
                <w:szCs w:val="16"/>
              </w:rPr>
              <w:t xml:space="preserve">  On EXPIRED: webhook updates status = EXPIRED, admin must re-initiate</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Arial" w:cs="Arial" w:eastAsia="Arial" w:hAnsi="Arial"/>
          <w:b/>
          <w:bCs/>
          <w:color w:val="02314e"/>
          <w:sz w:val="38"/>
          <w:szCs w:val="38"/>
        </w:rPr>
        <w:t xml:space="preserve">6.S.5 CORRECTED — Telemetry / Transfer Sync (G-07)</w:t>
      </w:r>
    </w:p>
    <w:p>
      <w:pPr>
        <w:pBdr>
          <w:bottom w:val="single" w:color="165e73" w:sz="6"/>
        </w:pBdr>
        <w:spacing w:after="160" w:before="160"/>
      </w:pPr>
      <w:r>
        <w:t xml:space="preserve"/>
      </w:r>
    </w:p>
    <w:p>
      <w:pPr>
        <w:spacing w:after="60" w:before="60"/>
      </w:pPr>
      <w:r>
        <w:rPr>
          <w:rFonts w:ascii="Arial" w:cs="Arial" w:eastAsia="Arial" w:hAnsi="Arial"/>
          <w:b w:val="false"/>
          <w:bCs w:val="false"/>
          <w:color w:val="000000"/>
          <w:sz w:val="20"/>
          <w:szCs w:val="20"/>
        </w:rPr>
        <w:t xml:space="preserve">When an inter-dealer inventory transfer completes (dealer acknowledges receipt), iot_devices.dealer_id must be updated in the same transaction. Without this, the NBFC battery monitoring shows batteries under the wrong dealer.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pPr>
              <w:spacing w:after="18" w:before="18"/>
            </w:pPr>
            <w:r>
              <w:rPr>
                <w:rFonts w:ascii="Courier New" w:cs="Courier New" w:eastAsia="Courier New" w:hAnsi="Courier New"/>
                <w:color w:val="1a1a2e"/>
                <w:sz w:val="16"/>
                <w:szCs w:val="16"/>
              </w:rPr>
              <w:t xml:space="preserve">// POST /api/dealer/inventory/acknowledge-transfer — CORRECTED</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BEGIN TRANSACTION</w:t>
            </w:r>
          </w:p>
          <w:p>
            <w:pPr>
              <w:spacing w:after="18" w:before="18"/>
            </w:pPr>
            <w:r>
              <w:rPr>
                <w:rFonts w:ascii="Courier New" w:cs="Courier New" w:eastAsia="Courier New" w:hAnsi="Courier New"/>
                <w:color w:val="1a1a2e"/>
                <w:sz w:val="16"/>
                <w:szCs w:val="16"/>
              </w:rPr>
              <w:t xml:space="preserve">  1. UPDATE inventory</w:t>
            </w:r>
          </w:p>
          <w:p>
            <w:pPr>
              <w:spacing w:after="18" w:before="18"/>
            </w:pPr>
            <w:r>
              <w:rPr>
                <w:rFonts w:ascii="Courier New" w:cs="Courier New" w:eastAsia="Courier New" w:hAnsi="Courier New"/>
                <w:color w:val="1a1a2e"/>
                <w:sz w:val="16"/>
                <w:szCs w:val="16"/>
              </w:rPr>
              <w:t xml:space="preserve">        SET status = 'available', dealer_id = targetDealerId</w:t>
            </w:r>
          </w:p>
          <w:p>
            <w:pPr>
              <w:spacing w:after="18" w:before="18"/>
            </w:pPr>
            <w:r>
              <w:rPr>
                <w:rFonts w:ascii="Courier New" w:cs="Courier New" w:eastAsia="Courier New" w:hAnsi="Courier New"/>
                <w:color w:val="1a1a2e"/>
                <w:sz w:val="16"/>
                <w:szCs w:val="16"/>
              </w:rPr>
              <w:t xml:space="preserve">     WHERE serial_number IN (serials)</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2. UPDATE iot_devices                           ← G-07 FIX</w:t>
            </w:r>
          </w:p>
          <w:p>
            <w:pPr>
              <w:spacing w:after="18" w:before="18"/>
            </w:pPr>
            <w:r>
              <w:rPr>
                <w:rFonts w:ascii="Courier New" w:cs="Courier New" w:eastAsia="Courier New" w:hAnsi="Courier New"/>
                <w:color w:val="1a1a2e"/>
                <w:sz w:val="16"/>
                <w:szCs w:val="16"/>
              </w:rPr>
              <w:t xml:space="preserve">        SET dealer_id = targetDealerId</w:t>
            </w:r>
          </w:p>
          <w:p>
            <w:pPr>
              <w:spacing w:after="18" w:before="18"/>
            </w:pPr>
            <w:r>
              <w:rPr>
                <w:rFonts w:ascii="Courier New" w:cs="Courier New" w:eastAsia="Courier New" w:hAnsi="Courier New"/>
                <w:color w:val="1a1a2e"/>
                <w:sz w:val="16"/>
                <w:szCs w:val="16"/>
              </w:rPr>
              <w:t xml:space="preserve">     WHERE serial_number IN (serials)</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3. UPDATE inventory_transfers</w:t>
            </w:r>
          </w:p>
          <w:p>
            <w:pPr>
              <w:spacing w:after="18" w:before="18"/>
            </w:pPr>
            <w:r>
              <w:rPr>
                <w:rFonts w:ascii="Courier New" w:cs="Courier New" w:eastAsia="Courier New" w:hAnsi="Courier New"/>
                <w:color w:val="1a1a2e"/>
                <w:sz w:val="16"/>
                <w:szCs w:val="16"/>
              </w:rPr>
              <w:t xml:space="preserve">        SET status = 'completed', acknowledged_at = NOW</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4. INSERT inventory_events (transfer_received per serial)</w:t>
            </w:r>
          </w:p>
          <w:p>
            <w:pPr>
              <w:spacing w:after="18" w:before="18"/>
            </w:pPr>
            <w:r>
              <w:rPr>
                <w:rFonts w:ascii="Courier New" w:cs="Courier New" w:eastAsia="Courier New" w:hAnsi="Courier New"/>
                <w:color w:val="1a1a2e"/>
                <w:sz w:val="16"/>
                <w:szCs w:val="16"/>
              </w:rPr>
              <w:t xml:space="preserve">COMMIT</w:t>
            </w:r>
          </w:p>
          <w:p>
            <w:pPr>
              <w:spacing w:after="18" w:before="18"/>
            </w:pPr>
            <w:r>
              <w:rPr>
                <w:rFonts w:ascii="Courier New" w:cs="Courier New" w:eastAsia="Courier New" w:hAnsi="Courier New"/>
                <w:color w:val="1a1a2e"/>
                <w:sz w:val="16"/>
                <w:szCs w:val="16"/>
              </w:rPr>
              <w:t xml:space="preserve"/>
            </w:r>
          </w:p>
          <w:p>
            <w:pPr>
              <w:spacing w:after="18" w:before="18"/>
            </w:pPr>
            <w:r>
              <w:rPr>
                <w:rFonts w:ascii="Courier New" w:cs="Courier New" w:eastAsia="Courier New" w:hAnsi="Courier New"/>
                <w:color w:val="1a1a2e"/>
                <w:sz w:val="16"/>
                <w:szCs w:val="16"/>
              </w:rPr>
              <w:t xml:space="preserve">// Result: NBFC portal battery monitoring now shows correct dealer</w:t>
            </w:r>
          </w:p>
          <w:p>
            <w:pPr>
              <w:spacing w:after="18" w:before="18"/>
            </w:pPr>
            <w:r>
              <w:rPr>
                <w:rFonts w:ascii="Courier New" w:cs="Courier New" w:eastAsia="Courier New" w:hAnsi="Courier New"/>
                <w:color w:val="1a1a2e"/>
                <w:sz w:val="16"/>
                <w:szCs w:val="16"/>
              </w:rPr>
              <w:t xml:space="preserve">// for all batteries, including those transferred between dealers.</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Arial" w:cs="Arial" w:eastAsia="Arial" w:hAnsi="Arial"/>
          <w:b/>
          <w:bCs/>
          <w:color w:val="02314e"/>
          <w:sz w:val="38"/>
          <w:szCs w:val="38"/>
        </w:rPr>
        <w:t xml:space="preserve">6.S.6 SYNC STATUS — ALL WORKFLOWS</w:t>
      </w:r>
    </w:p>
    <w:p>
      <w:pPr>
        <w:pBdr>
          <w:bottom w:val="single" w:color="165e73"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Workflow</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V2-24th-Feb-2</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 6</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 onboarding (6 steps)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Fully specified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Referenced in overview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 onboarding (6 steps + Digio)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present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Section 6.0 revised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G-01 resolved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Digio agreement — dealer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Full spec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Webhook now unified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 Sync (6.S.4)</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Digio agreement — NBFC LSP</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present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Section 6.0.4a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G-01 resolved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agreement_status ENUM shared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7-state ENUM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 shared by dealer + NBFC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G-08 resolved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 → NBFC FK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text lender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nbfc_id FK added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G-03/09 resolved (6.S.3)</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loan_sanctions → LSP Agreement FK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present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lsp_agreement_id FK added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G-04 resolved (6.S.3)</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dealer_nbfc_assignments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 enablement flag only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Junction table added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G-05 resolved (6.0.8)</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iot_devices.dealer_id on transfer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added to transaction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G-07 resolved (6.S.5)</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dashboard funnel source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dealer_applications statuses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Mapped to dealer_applications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G-10 noted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guidelines in CRM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present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Section 6.B added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New addition</w:t>
            </w:r>
          </w:p>
        </w:tc>
      </w:tr>
    </w:tbl>
    <w:p>
      <w:pPr>
        <w:spacing w:after="0" w:before="200"/>
      </w:pPr>
      <w:r>
        <w:t xml:space="preserve"/>
      </w:r>
    </w:p>
    <w:p>
      <w:pPr>
        <w:spacing w:after="60" w:before="60"/>
      </w:pPr>
      <w:r>
        <w:rPr>
          <w:rFonts w:ascii="Arial" w:cs="Arial" w:eastAsia="Arial" w:hAnsi="Arial"/>
          <w:b w:val="false"/>
          <w:bCs w:val="false"/>
          <w:color w:val="4A4A4A"/>
          <w:sz w:val="20"/>
          <w:szCs w:val="20"/>
        </w:rPr>
        <w:t xml:space="preserve">— End of Sections 6.B / 6.0 – 6.4 / 6.S (Brand Guidelines, NBFC Onboarding, Portal, Telemetry, Admin Control, Compliance, Sync Audit)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20"/>
              <w:left w:type="dxa" w:w="160"/>
              <w:bottom w:type="dxa" w:w="120"/>
              <w:right w:type="dxa" w:w="160"/>
            </w:tcMar>
          </w:tcPr>
          <w:p>
            <w:r>
              <w:rPr>
                <w:rFonts w:ascii="Arial" w:cs="Arial" w:eastAsia="Arial" w:hAnsi="Arial"/>
                <w:b/>
                <w:bCs/>
                <w:color w:val="4A4A4A"/>
                <w:sz w:val="20"/>
                <w:szCs w:val="20"/>
              </w:rPr>
              <w:t xml:space="preserve">Next Sections (Reserved)</w:t>
            </w:r>
          </w:p>
          <w:p>
            <w:pPr>
              <w:spacing w:before="60"/>
            </w:pPr>
            <w:r>
              <w:rPr>
                <w:rFonts w:ascii="Arial" w:cs="Arial" w:eastAsia="Arial" w:hAnsi="Arial"/>
                <w:sz w:val="19"/>
                <w:szCs w:val="19"/>
              </w:rPr>
              <w:t xml:space="preserve">Section 7.0 — Deployed Asset Management (sold battery tracking, service tickets, warranty claims)
Section 8.0 — Loan Disbursement &amp; Repayment Tracking (NBFC webhook, EMI schedule, NOC)
Section 9.0 — Reporting &amp; Analytics (dealer performance, inventory turnover, NBFC MIS)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DM Sans" w:cs="DM Sans" w:eastAsia="DM Sans" w:hAnsi="DM Sans"/>
      <w:b/>
      <w:bCs/>
      <w:color w:val="02314e"/>
      <w:sz w:val="38"/>
      <w:szCs w:val="38"/>
    </w:rPr>
  </w:style>
  <w:style w:type="paragraph" w:styleId="Heading2">
    <w:name w:val="Heading 2"/>
    <w:basedOn w:val="Normal"/>
    <w:next w:val="Normal"/>
    <w:qFormat/>
    <w:pPr>
      <w:spacing w:after="120" w:before="300"/>
      <w:outlineLvl w:val="1"/>
    </w:pPr>
    <w:rPr>
      <w:rFonts w:ascii="DM Sans" w:cs="DM Sans" w:eastAsia="DM Sans" w:hAnsi="DM Sans"/>
      <w:b/>
      <w:bCs/>
      <w:color w:val="165e73"/>
      <w:sz w:val="28"/>
      <w:szCs w:val="28"/>
    </w:rPr>
  </w:style>
  <w:style w:type="paragraph" w:styleId="Heading3">
    <w:name w:val="Heading 3"/>
    <w:basedOn w:val="Normal"/>
    <w:next w:val="Normal"/>
    <w:qFormat/>
    <w:pPr>
      <w:spacing w:after="80" w:before="200"/>
      <w:outlineLvl w:val="2"/>
    </w:pPr>
    <w:rPr>
      <w:rFonts w:ascii="DM Sans" w:cs="DM Sans" w:eastAsia="DM Sans" w:hAnsi="DM Sans"/>
      <w:b/>
      <w:bCs/>
      <w:color w:val="138fc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72a1871873bda7c950120e3a6005eab1312ce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2026-04-29T10:55:25.512Z</dcterms:created>
  <dcterms:modified xsi:type="dcterms:W3CDTF">2026-04-29T10:55:25.513Z</dcterms:modified>
</cp:coreProperties>
</file>

<file path=docProps/custom.xml><?xml version="1.0" encoding="utf-8"?>
<Properties xmlns="http://schemas.openxmlformats.org/officeDocument/2006/custom-properties" xmlns:vt="http://schemas.openxmlformats.org/officeDocument/2006/docPropsVTypes"/>
</file>