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40"/>
              <w:left w:type="dxa" w:w="280"/>
              <w:bottom w:type="dxa" w:w="240"/>
              <w:right w:type="dxa" w:w="280"/>
            </w:tcMar>
          </w:tcPr>
          <w:p>
            <w:r>
              <w:drawing>
                <wp:inline distT="0" distB="0" distL="0" distR="0">
                  <wp:extent cx="14287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428625"/>
                          </a:xfrm>
                          <a:prstGeom prst="rect">
                            <a:avLst/>
                          </a:prstGeom>
                        </pic:spPr>
                      </pic:pic>
                    </a:graphicData>
                  </a:graphic>
                </wp:inline>
              </w:drawing>
            </w:r>
          </w:p>
          <w:p>
            <w:pPr>
              <w:spacing w:before="160"/>
              <w:jc w:val="left"/>
            </w:pPr>
            <w:r>
              <w:rPr>
                <w:rFonts w:ascii="DM Sans" w:cs="DM Sans" w:eastAsia="DM Sans" w:hAnsi="DM Sans"/>
                <w:color w:val="D6EAF8"/>
                <w:sz w:val="18"/>
                <w:szCs w:val="18"/>
              </w:rPr>
              <w:t xml:space="preserve">iTarang CRM — Internal</w:t>
            </w:r>
          </w:p>
          <w:p>
            <w:pPr>
              <w:jc w:val="left"/>
            </w:pPr>
            <w:r>
              <w:rPr>
                <w:rFonts w:ascii="DM Sans" w:cs="DM Sans" w:eastAsia="DM Sans" w:hAnsi="DM Sans"/>
                <w:b/>
                <w:bCs/>
                <w:color w:val="FFFFFF"/>
                <w:sz w:val="36"/>
                <w:szCs w:val="36"/>
              </w:rPr>
              <w:t xml:space="preserve">Cross-Document Sync Audit</w:t>
            </w:r>
          </w:p>
          <w:p>
            <w:pPr>
              <w:jc w:val="left"/>
            </w:pPr>
            <w:r>
              <w:rPr>
                <w:rFonts w:ascii="DM Sans" w:cs="DM Sans" w:eastAsia="DM Sans" w:hAnsi="DM Sans"/>
                <w:color w:val="F4F7FA"/>
                <w:sz w:val="17"/>
                <w:szCs w:val="17"/>
              </w:rPr>
              <w:t xml:space="preserve">V2-24th-Feb (Lead/Loan) · V2-24th-Feb-2 (Dealer Onboarding) · Section 6 (NBFC/Telemetry/Admin)</w:t>
            </w:r>
          </w:p>
          <w:p>
            <w:pPr>
              <w:spacing w:before="120"/>
              <w:jc w:val="left"/>
            </w:pPr>
            <w:r>
              <w:rPr>
                <w:rFonts w:ascii="DM Sans" w:cs="DM Sans" w:eastAsia="DM Sans" w:hAnsi="DM Sans"/>
                <w:color w:val="138fc6"/>
                <w:sz w:val="17"/>
                <w:szCs w:val="17"/>
              </w:rPr>
              <w:t xml:space="preserve">April 2026  ·  10 Gaps Identified  ·  All Resolutions Specified</w:t>
            </w:r>
          </w:p>
        </w:tc>
      </w:tr>
    </w:tbl>
    <w:p>
      <w:pPr>
        <w:spacing w:after="0" w:before="200"/>
      </w:pPr>
      <w:r>
        <w:t xml:space="preserve"/>
      </w:r>
    </w:p>
    <w:p>
      <w:pPr>
        <w:pStyle w:val="Heading1"/>
        <w:spacing w:after="160" w:before="400"/>
      </w:pPr>
      <w:r>
        <w:rPr>
          <w:rFonts w:ascii="DM Sans" w:cs="DM Sans" w:eastAsia="DM Sans" w:hAnsi="DM Sans"/>
          <w:b/>
          <w:bCs/>
          <w:color w:val="02314e"/>
          <w:sz w:val="38"/>
          <w:szCs w:val="38"/>
        </w:rPr>
        <w:t xml:space="preserve">AUDIT SCOPE &amp; METHODOLOGY</w:t>
      </w:r>
    </w:p>
    <w:p>
      <w:pPr>
        <w:pBdr>
          <w:bottom w:val="single" w:color="138fc6" w:sz="6"/>
        </w:pBdr>
        <w:spacing w:after="160" w:before="160"/>
      </w:pPr>
      <w:r>
        <w:t xml:space="preserve"/>
      </w:r>
    </w:p>
    <w:p>
      <w:pPr>
        <w:spacing w:after="60" w:before="60"/>
      </w:pPr>
      <w:r>
        <w:rPr>
          <w:rFonts w:ascii="DM Sans" w:cs="DM Sans" w:eastAsia="DM Sans" w:hAnsi="DM Sans"/>
          <w:b w:val="false"/>
          <w:bCs w:val="false"/>
          <w:color w:val="000000"/>
          <w:sz w:val="20"/>
          <w:szCs w:val="20"/>
        </w:rPr>
        <w:t xml:space="preserve">This document is the canonical cross-reference audit of all three iTarang CRM BRDs. Every workflow, ENUM value, API endpoint, FK constraint, and DB table schema has been compared across the three documents. Each gap is numbered, sourced to the exact table/section in each document, assessed for severity, and given a precise resolution specification.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Document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Abbreviation Used</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Scope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CRM BRD (internal) — V2, 24th Feb</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V2-Feb (Lead/Loan)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Steps 1–5: Lead creation, KYC, co-borrower, product selection, loan sanction, OTP dispatch. Inventory, product master, warranty, after-sales.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CRM BRD (internal) — V2, 24th Feb-2</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V2-Feb-2 (Dealer Onboarding)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 onboarding (6 steps), Digio agreement, admin review console, dealer activation, Finance Enablement flag.</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Section 6 NBFC Telemetry Admin BRD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Sec6</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Brand guidelines (6.B), NBFC onboarding (6.0), NBFC portal (6.1), telemetry ingestion (6.2), iTarang admin control (6.3), compliance (6.4), sync audit (6.S).</w:t>
            </w:r>
          </w:p>
        </w:tc>
      </w:tr>
    </w:tbl>
    <w:p>
      <w:pPr>
        <w:spacing w:after="0" w:before="200"/>
      </w:pPr>
      <w:r>
        <w:t xml:space="preserve"/>
      </w:r>
    </w:p>
    <w:p>
      <w:pPr>
        <w:pBdr>
          <w:bottom w:val="single" w:color="02314e" w:sz="12"/>
        </w:pBdr>
        <w:spacing w:after="200" w:before="200"/>
      </w:pPr>
      <w:r>
        <w:t xml:space="preserve"/>
      </w:r>
    </w:p>
    <w:p>
      <w:pPr>
        <w:pStyle w:val="Heading1"/>
        <w:spacing w:after="160" w:before="400"/>
      </w:pPr>
      <w:r>
        <w:rPr>
          <w:rFonts w:ascii="DM Sans" w:cs="DM Sans" w:eastAsia="DM Sans" w:hAnsi="DM Sans"/>
          <w:b/>
          <w:bCs/>
          <w:color w:val="02314e"/>
          <w:sz w:val="38"/>
          <w:szCs w:val="38"/>
        </w:rPr>
        <w:t xml:space="preserve">MASTER GAP REGISTER — ALL 10 ISSUES</w:t>
      </w:r>
    </w:p>
    <w:p>
      <w:pPr>
        <w:pBdr>
          <w:bottom w:val="single" w:color="138fc6" w:sz="6"/>
        </w:pBdr>
        <w:spacing w:after="160" w:before="160"/>
      </w:pPr>
      <w:r>
        <w:t xml:space="preserve"/>
      </w:r>
    </w:p>
    <w:p>
      <w:pPr>
        <w:spacing w:after="60" w:before="60"/>
      </w:pPr>
      <w:r>
        <w:rPr>
          <w:rFonts w:ascii="DM Sans" w:cs="DM Sans" w:eastAsia="DM Sans" w:hAnsi="DM Sans"/>
          <w:b w:val="false"/>
          <w:bCs w:val="false"/>
          <w:color w:val="000000"/>
          <w:sz w:val="20"/>
          <w:szCs w:val="20"/>
        </w:rPr>
        <w:t xml:space="preserve">Severity: CRITICAL = breaks a live transaction or creates data corruption. HIGH = blocks a workflow or enables incorrect data. MEDIUM = inconsistency that will surface in QA or production edge cases. LOW = alignment/polish with no functional impact.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1360"/>
        <w:gridCol w:w="1440"/>
        <w:gridCol w:w="1440"/>
        <w:gridCol w:w="1440"/>
        <w:gridCol w:w="1760"/>
        <w:gridCol w:w="1000"/>
        <w:gridCol w:w="6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Area</w:t>
            </w:r>
          </w:p>
        </w:tc>
        <w:tc>
          <w:tcPr>
            <w:tcW w:type="dxa" w:w="4680"/>
            <w:gridSpan w:val="1"/>
            <w:tcBorders>
              <w:top w:val="single" w:color="CCCCCC" w:sz="1"/>
              <w:left w:val="single" w:color="CCCCCC" w:sz="1"/>
              <w:bottom w:val="single" w:color="CCCCCC" w:sz="1"/>
              <w:right w:val="single" w:color="CCCCCC" w:sz="1"/>
            </w:tcBorders>
            <w:shd w:fill="165e73"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V2-Feb (Lead/Loan)</w:t>
            </w:r>
          </w:p>
        </w:tc>
        <w:tc>
          <w:tcPr>
            <w:tcW w:type="dxa" w:w="4680"/>
            <w:gridSpan w:val="1"/>
            <w:tcBorders>
              <w:top w:val="single" w:color="CCCCCC" w:sz="1"/>
              <w:left w:val="single" w:color="CCCCCC" w:sz="1"/>
              <w:bottom w:val="single" w:color="CCCCCC" w:sz="1"/>
              <w:right w:val="single" w:color="CCCCCC" w:sz="1"/>
            </w:tcBorders>
            <w:shd w:fill="165e73"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V2-Feb-2 (Dealer)</w:t>
            </w:r>
          </w:p>
        </w:tc>
        <w:tc>
          <w:tcPr>
            <w:tcW w:type="dxa" w:w="4680"/>
            <w:gridSpan w:val="1"/>
            <w:tcBorders>
              <w:top w:val="single" w:color="CCCCCC" w:sz="1"/>
              <w:left w:val="single" w:color="CCCCCC" w:sz="1"/>
              <w:bottom w:val="single" w:color="CCCCCC" w:sz="1"/>
              <w:right w:val="single" w:color="CCCCCC" w:sz="1"/>
            </w:tcBorders>
            <w:shd w:fill="165e73"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Sec6 (NBFC)</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Gap Identified</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Resolution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Severity</w:t>
            </w:r>
          </w:p>
        </w:tc>
      </w:tr>
      <w:tr>
        <w:tc>
          <w:tcPr>
            <w:tcW w:type="dxa" w:w="32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center"/>
            </w:pPr>
            <w:r>
              <w:rPr>
                <w:rFonts w:ascii="DM Sans" w:cs="DM Sans" w:eastAsia="DM Sans" w:hAnsi="DM Sans"/>
                <w:b/>
                <w:bCs/>
                <w:color w:val="FFFFFF"/>
                <w:sz w:val="20"/>
                <w:szCs w:val="20"/>
              </w:rPr>
              <w:t xml:space="preserve">G-01</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Sub-category definition conflict</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sub_category = vehicle type labels (E-Rickshaw, E-Cart, E-Auto). Battery detail card shows '3W / E-Rickshaw'.</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Not referenced.</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Section 6.B and 6.0 removed sub-categories entirely per earlier decision — category + model_number only.</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V2-Feb still uses sub_category as a vehicle-type label in inventory, product_selections, lead, battery tab API, and Step 4 filter. Sec6 removed it. The two documents describe incompatible data models for the same field.</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See Section A: sub_category retained as model name (battery spec). All vehicle-type sub-categories (E-Rickshaw etc.) removed. Resolution specified below.</w:t>
            </w:r>
          </w:p>
        </w:tc>
        <w:tc>
          <w:tcPr>
            <w:tcW w:type="dxa" w:w="6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DM Sans" w:cs="DM Sans" w:eastAsia="DM Sans" w:hAnsi="DM Sans"/>
                <w:b/>
                <w:bCs/>
                <w:color w:val="C0392B"/>
                <w:sz w:val="15"/>
                <w:szCs w:val="15"/>
              </w:rPr>
              <w:t xml:space="preserve">CRITICAL</w:t>
            </w:r>
          </w:p>
        </w:tc>
      </w:tr>
      <w:tr>
        <w:tc>
          <w:tcPr>
            <w:tcW w:type="dxa" w:w="32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center"/>
            </w:pPr>
            <w:r>
              <w:rPr>
                <w:rFonts w:ascii="DM Sans" w:cs="DM Sans" w:eastAsia="DM Sans" w:hAnsi="DM Sans"/>
                <w:b/>
                <w:bCs/>
                <w:color w:val="FFFFFF"/>
                <w:sz w:val="20"/>
                <w:szCs w:val="20"/>
              </w:rPr>
              <w:t xml:space="preserve">G-02</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payment_method ENUM case mismatch</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Stores: 'Cash' | 'Other finance' | 'Dealer finance' (mixed case, space in 'Other finance').</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Not referenced directly.</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after_sales_records.payment_mode = 'cash' | 'finance' (2-value lowercase ENUM).</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V2-Feb uses 3-value mixed-case ENUM on leads. Sec6 after_sales_records uses a 2-value lowercase ENUM. warranty.payment_mode also uses 'cash' | 'finance'. Three different representations of payment method across the platform.</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See Section B: canonical ENUM defined. leads.payment_method stays 3-value. warranty/after_sales collapse to 2-value 'cash'|'finance'.</w:t>
            </w:r>
          </w:p>
        </w:tc>
        <w:tc>
          <w:tcPr>
            <w:tcW w:type="dxa" w:w="6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DM Sans" w:cs="DM Sans" w:eastAsia="DM Sans" w:hAnsi="DM Sans"/>
                <w:b/>
                <w:bCs/>
                <w:color w:val="B45309"/>
                <w:sz w:val="15"/>
                <w:szCs w:val="15"/>
              </w:rPr>
              <w:t xml:space="preserve">HIGH</w:t>
            </w:r>
          </w:p>
        </w:tc>
      </w:tr>
      <w:tr>
        <w:tc>
          <w:tcPr>
            <w:tcW w:type="dxa" w:w="32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center"/>
            </w:pPr>
            <w:r>
              <w:rPr>
                <w:rFonts w:ascii="DM Sans" w:cs="DM Sans" w:eastAsia="DM Sans" w:hAnsi="DM Sans"/>
                <w:b/>
                <w:bCs/>
                <w:color w:val="FFFFFF"/>
                <w:sz w:val="20"/>
                <w:szCs w:val="20"/>
              </w:rPr>
              <w:t xml:space="preserve">G-03</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loan_sanctions missing nbfc_id and lsp_agreement_id FKs</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loan_sanctions.loan_approved_by = VARCHAR(200) free text. No nbfc_id FK.</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Not referenced.</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Sec6.S.3 defines corrected schema with nbfc_id FK and lsp_agreement_id FK.</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V2-Feb schema still has the old free-text loan_approved_by with no FK. The Sec6 correction exists in Section 6.S but was not applied back to the canonical loan_sanctions table in V2-Feb.</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Corrected schema in Section C replaces the V2-Feb loan_sanctions definition.</w:t>
            </w:r>
          </w:p>
        </w:tc>
        <w:tc>
          <w:tcPr>
            <w:tcW w:type="dxa" w:w="6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DM Sans" w:cs="DM Sans" w:eastAsia="DM Sans" w:hAnsi="DM Sans"/>
                <w:b/>
                <w:bCs/>
                <w:color w:val="C0392B"/>
                <w:sz w:val="15"/>
                <w:szCs w:val="15"/>
              </w:rPr>
              <w:t xml:space="preserve">CRITICAL</w:t>
            </w:r>
          </w:p>
        </w:tc>
      </w:tr>
      <w:tr>
        <w:tc>
          <w:tcPr>
            <w:tcW w:type="dxa" w:w="32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center"/>
            </w:pPr>
            <w:r>
              <w:rPr>
                <w:rFonts w:ascii="DM Sans" w:cs="DM Sans" w:eastAsia="DM Sans" w:hAnsi="DM Sans"/>
                <w:b/>
                <w:bCs/>
                <w:color w:val="FFFFFF"/>
                <w:sz w:val="20"/>
                <w:szCs w:val="20"/>
              </w:rPr>
              <w:t xml:space="preserve">G-04</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dealers table never defined</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References dealers.id as FK in every table (inventory, leads, coupons, etc.) but never defines the dealers table schema.</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Describes dealer onboarding fields extensively but defines no dealers table schema.</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References dealers.id as FK in dealer_nbfc_assignments. No schema.</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The dealers table is the most referenced table in the entire BRD set and is never defined in any of the three documents. Downstream FKs reference it as authoritative but its columns are unknown.</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Canonical dealers table defined in Section D below.</w:t>
            </w:r>
          </w:p>
        </w:tc>
        <w:tc>
          <w:tcPr>
            <w:tcW w:type="dxa" w:w="6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DM Sans" w:cs="DM Sans" w:eastAsia="DM Sans" w:hAnsi="DM Sans"/>
                <w:b/>
                <w:bCs/>
                <w:color w:val="C0392B"/>
                <w:sz w:val="15"/>
                <w:szCs w:val="15"/>
              </w:rPr>
              <w:t xml:space="preserve">CRITICAL</w:t>
            </w:r>
          </w:p>
        </w:tc>
      </w:tr>
      <w:tr>
        <w:tc>
          <w:tcPr>
            <w:tcW w:type="dxa" w:w="32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center"/>
            </w:pPr>
            <w:r>
              <w:rPr>
                <w:rFonts w:ascii="DM Sans" w:cs="DM Sans" w:eastAsia="DM Sans" w:hAnsi="DM Sans"/>
                <w:b/>
                <w:bCs/>
                <w:color w:val="FFFFFF"/>
                <w:sz w:val="20"/>
                <w:szCs w:val="20"/>
              </w:rPr>
              <w:t xml:space="preserve">G-05</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product_selections retains sub_category column</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product_selections.sub_category VARCHAR(50) column defined.</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Not referenced.</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Sec6 removed sub_category concept.</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If sub_category is being removed from the data model (per G-01 resolution), product_selections.sub_category must also be removed or repurposed. Currently inconsistent.</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product_selections.sub_category → renamed to model_number VARCHAR(100). Migration specified in Section A.</w:t>
            </w:r>
          </w:p>
        </w:tc>
        <w:tc>
          <w:tcPr>
            <w:tcW w:type="dxa" w:w="6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DM Sans" w:cs="DM Sans" w:eastAsia="DM Sans" w:hAnsi="DM Sans"/>
                <w:b/>
                <w:bCs/>
                <w:color w:val="B45309"/>
                <w:sz w:val="15"/>
                <w:szCs w:val="15"/>
              </w:rPr>
              <w:t xml:space="preserve">HIGH</w:t>
            </w:r>
          </w:p>
        </w:tc>
      </w:tr>
      <w:tr>
        <w:tc>
          <w:tcPr>
            <w:tcW w:type="dxa" w:w="32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center"/>
            </w:pPr>
            <w:r>
              <w:rPr>
                <w:rFonts w:ascii="DM Sans" w:cs="DM Sans" w:eastAsia="DM Sans" w:hAnsi="DM Sans"/>
                <w:b/>
                <w:bCs/>
                <w:color w:val="FFFFFF"/>
                <w:sz w:val="20"/>
                <w:szCs w:val="20"/>
              </w:rPr>
              <w:t xml:space="preserve">G-06</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inventory_transfers schema missing rejection fields</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inventory_transfers schema: status ENUM = 'pending_acknowledgement' | 'completed'.</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Not referenced.</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Sec6.S adds: reject-transfer API, status extended with 'rejected_by_target' | 'cancelled_by_admin', rejected_by / rejected_at / rejection_reason fields.</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V2-Feb inventory_transfers table has a 2-value status ENUM with no rejection path. Sec6 specifies a rejection flow but the underlying table in V2-Feb was never updated.</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V2-Feb inventory_transfers schema updated in Section E.</w:t>
            </w:r>
          </w:p>
        </w:tc>
        <w:tc>
          <w:tcPr>
            <w:tcW w:type="dxa" w:w="600"/>
            <w:gridSpan w:val="1"/>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DM Sans" w:cs="DM Sans" w:eastAsia="DM Sans" w:hAnsi="DM Sans"/>
                <w:b/>
                <w:bCs/>
                <w:color w:val="92600A"/>
                <w:sz w:val="15"/>
                <w:szCs w:val="15"/>
              </w:rPr>
              <w:t xml:space="preserve">MEDIUM</w:t>
            </w:r>
          </w:p>
        </w:tc>
      </w:tr>
      <w:tr>
        <w:tc>
          <w:tcPr>
            <w:tcW w:type="dxa" w:w="32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center"/>
            </w:pPr>
            <w:r>
              <w:rPr>
                <w:rFonts w:ascii="DM Sans" w:cs="DM Sans" w:eastAsia="DM Sans" w:hAnsi="DM Sans"/>
                <w:b/>
                <w:bCs/>
                <w:color w:val="FFFFFF"/>
                <w:sz w:val="20"/>
                <w:szCs w:val="20"/>
              </w:rPr>
              <w:t xml:space="preserve">G-07</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warranty.payment_mode ENUM vs leads.payment_method ENUM</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warranty.payment_mode ENUM = 'cash' | 'finance'. leads.payment_method = 'Cash' | 'Other finance' | 'Dealer finance'.</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Not referenced.</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after_sales_records.payment_mode = 'cash' | 'finance'.</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The warranty and after_sales_records tables collapse 3 payment methods into 2 at write time, but there is no mapping rule specified anywhere. 'Other finance' and 'Dealer finance' both map to 'finance' — but this is implicit, not documented. Developers may implement inconsistently.</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Explicit mapping rule defined in Section B.</w:t>
            </w:r>
          </w:p>
        </w:tc>
        <w:tc>
          <w:tcPr>
            <w:tcW w:type="dxa" w:w="600"/>
            <w:gridSpan w:val="1"/>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DM Sans" w:cs="DM Sans" w:eastAsia="DM Sans" w:hAnsi="DM Sans"/>
                <w:b/>
                <w:bCs/>
                <w:color w:val="92600A"/>
                <w:sz w:val="15"/>
                <w:szCs w:val="15"/>
              </w:rPr>
              <w:t xml:space="preserve">MEDIUM</w:t>
            </w:r>
          </w:p>
        </w:tc>
      </w:tr>
      <w:tr>
        <w:tc>
          <w:tcPr>
            <w:tcW w:type="dxa" w:w="32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center"/>
            </w:pPr>
            <w:r>
              <w:rPr>
                <w:rFonts w:ascii="DM Sans" w:cs="DM Sans" w:eastAsia="DM Sans" w:hAnsi="DM Sans"/>
                <w:b/>
                <w:bCs/>
                <w:color w:val="FFFFFF"/>
                <w:sz w:val="20"/>
                <w:szCs w:val="20"/>
              </w:rPr>
              <w:t xml:space="preserve">G-08</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 dealers table means no canonical dealer_id type</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dealer_id referenced as INT FK everywhere in V2-Feb.</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Dealer onboarding generates a Dealer ID but format not specified in schema.</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dealer_nbfc_assignments.dealer_id = INT FK.</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V2-Feb uses INT FK for dealer_id. V2-Feb-2 generates a Dealer ID string (e.g. 'DLR-001') but the dealers table schema is absent. Sec6 uses INT FK. The ID type (INT vs VARCHAR) is inconsistent across documents.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Resolved by Section D: dealers.id = INT PK AUTO. dealer_id column = VARCHAR(50) UNIQUE (the 'DLR-001' format). INT FK references dealers.id internally.</w:t>
            </w:r>
          </w:p>
        </w:tc>
        <w:tc>
          <w:tcPr>
            <w:tcW w:type="dxa" w:w="600"/>
            <w:gridSpan w:val="1"/>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DM Sans" w:cs="DM Sans" w:eastAsia="DM Sans" w:hAnsi="DM Sans"/>
                <w:b/>
                <w:bCs/>
                <w:color w:val="92600A"/>
                <w:sz w:val="15"/>
                <w:szCs w:val="15"/>
              </w:rPr>
              <w:t xml:space="preserve">MEDIUM</w:t>
            </w:r>
          </w:p>
        </w:tc>
      </w:tr>
      <w:tr>
        <w:tc>
          <w:tcPr>
            <w:tcW w:type="dxa" w:w="32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center"/>
            </w:pPr>
            <w:r>
              <w:rPr>
                <w:rFonts w:ascii="DM Sans" w:cs="DM Sans" w:eastAsia="DM Sans" w:hAnsi="DM Sans"/>
                <w:b/>
                <w:bCs/>
                <w:color w:val="FFFFFF"/>
                <w:sz w:val="20"/>
                <w:szCs w:val="20"/>
              </w:rPr>
              <w:t xml:space="preserve">G-09</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Category/sub_category matrix differs between documents</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Category matrix shows sub-categories as battery model specs: 3W → 51.2V-105AH, 51.2V-140AH etc. This IS the battery model list.</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Not referenced.</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Sec6.B lists categories as: 3W | 2W | 4W | INV | SOL | OTH. No sub-categories at all.</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V2-Feb uses sub_category as battery model names (e.g. '51.2V-105AH') which are also product_master entries. Sec6 removed sub-categories entirely. The two documents define incompatible category structures. This is the root of G-01.</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Resolved by G-01 in Section A: sub_category IS the battery model name. The category codes in Sec6.B are authoritative.</w:t>
            </w:r>
          </w:p>
        </w:tc>
        <w:tc>
          <w:tcPr>
            <w:tcW w:type="dxa" w:w="6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DM Sans" w:cs="DM Sans" w:eastAsia="DM Sans" w:hAnsi="DM Sans"/>
                <w:b/>
                <w:bCs/>
                <w:color w:val="B45309"/>
                <w:sz w:val="15"/>
                <w:szCs w:val="15"/>
              </w:rPr>
              <w:t xml:space="preserve">HIGH</w:t>
            </w:r>
          </w:p>
        </w:tc>
      </w:tr>
      <w:tr>
        <w:tc>
          <w:tcPr>
            <w:tcW w:type="dxa" w:w="32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center"/>
            </w:pPr>
            <w:r>
              <w:rPr>
                <w:rFonts w:ascii="DM Sans" w:cs="DM Sans" w:eastAsia="DM Sans" w:hAnsi="DM Sans"/>
                <w:b/>
                <w:bCs/>
                <w:color w:val="FFFFFF"/>
                <w:sz w:val="20"/>
                <w:szCs w:val="20"/>
              </w:rPr>
              <w:t xml:space="preserve">G-10</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 onboarding status not linked to lead creation gate</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Assumes dealer is active when creating leads. No check against dealer onboarding status.</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Dealer status lifecycle: Draft → Pending Admin Review → Approved → Active → Rejected.</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16"/>
                <w:szCs w:val="16"/>
              </w:rPr>
              <w:t xml:space="preserve">dealer_nbfc_assignments.status = 'active' | 'suspended' | 'terminated'. References dealers.id.</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V2-Feb lead creation (POST /api/leads/create) has no validation that the dealer's account is Active. A dealer in 'pending_admin_review' or 'request_correction' status could theoretically create leads. No gating rule exists across any document.</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Lead creation API gate specified in Section F.</w:t>
            </w:r>
          </w:p>
        </w:tc>
        <w:tc>
          <w:tcPr>
            <w:tcW w:type="dxa" w:w="600"/>
            <w:gridSpan w:val="1"/>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DM Sans" w:cs="DM Sans" w:eastAsia="DM Sans" w:hAnsi="DM Sans"/>
                <w:b/>
                <w:bCs/>
                <w:color w:val="92600A"/>
                <w:sz w:val="15"/>
                <w:szCs w:val="15"/>
              </w:rPr>
              <w:t xml:space="preserve">MEDIUM</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DM Sans" w:cs="DM Sans" w:eastAsia="DM Sans" w:hAnsi="DM Sans"/>
                <w:color w:val="D6EAF8"/>
                <w:sz w:val="18"/>
                <w:szCs w:val="18"/>
              </w:rPr>
              <w:t xml:space="preserve">Resolution A</w:t>
            </w:r>
          </w:p>
          <w:p>
            <w:pPr>
              <w:jc w:val="center"/>
            </w:pPr>
            <w:r>
              <w:rPr>
                <w:rFonts w:ascii="DM Sans" w:cs="DM Sans" w:eastAsia="DM Sans" w:hAnsi="DM Sans"/>
                <w:b/>
                <w:bCs/>
                <w:color w:val="FFFFFF"/>
                <w:sz w:val="34"/>
                <w:szCs w:val="34"/>
              </w:rPr>
              <w:t xml:space="preserve">Sub-Category = Battery Model Name</w:t>
            </w:r>
          </w:p>
          <w:p>
            <w:pPr>
              <w:jc w:val="center"/>
            </w:pPr>
            <w:r>
              <w:rPr>
                <w:rFonts w:ascii="DM Sans" w:cs="DM Sans" w:eastAsia="DM Sans" w:hAnsi="DM Sans"/>
                <w:color w:val="F4F7FA"/>
                <w:sz w:val="18"/>
                <w:szCs w:val="18"/>
              </w:rPr>
              <w:t xml:space="preserve">G-01 / G-05 / G-09 — CRITICAL / HIGH / HIGH</w:t>
            </w:r>
          </w:p>
        </w:tc>
      </w:tr>
    </w:tbl>
    <w:p>
      <w:pPr>
        <w:spacing w:after="0" w:before="200"/>
      </w:pPr>
      <w:r>
        <w:t xml:space="preserve"/>
      </w:r>
    </w:p>
    <w:p>
      <w:pPr>
        <w:pStyle w:val="Heading1"/>
        <w:spacing w:after="160" w:before="400"/>
      </w:pPr>
      <w:r>
        <w:rPr>
          <w:rFonts w:ascii="DM Sans" w:cs="DM Sans" w:eastAsia="DM Sans" w:hAnsi="DM Sans"/>
          <w:b/>
          <w:bCs/>
          <w:color w:val="02314e"/>
          <w:sz w:val="38"/>
          <w:szCs w:val="38"/>
        </w:rPr>
        <w:t xml:space="preserve">A.1 DECISION</w:t>
      </w:r>
    </w:p>
    <w:p>
      <w:pPr>
        <w:pBdr>
          <w:bottom w:val="single" w:color="138fc6" w:sz="6"/>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DM Sans" w:cs="DM Sans" w:eastAsia="DM Sans" w:hAnsi="DM Sans"/>
                <w:b/>
                <w:bCs/>
                <w:color w:val="B45309"/>
                <w:sz w:val="20"/>
                <w:szCs w:val="20"/>
              </w:rPr>
              <w:t xml:space="preserve">Canonical Decision — Sub-Category IS the Battery Model</w:t>
            </w:r>
          </w:p>
          <w:p>
            <w:pPr>
              <w:spacing w:before="60"/>
            </w:pPr>
            <w:r>
              <w:rPr>
                <w:rFonts w:ascii="DM Sans" w:cs="DM Sans" w:eastAsia="DM Sans" w:hAnsi="DM Sans"/>
                <w:sz w:val="19"/>
                <w:szCs w:val="19"/>
              </w:rPr>
              <w:t xml:space="preserve">The sub_category field does NOT represent a vehicle-type subdivision (E-Rickshaw, E-Cart, E-Auto). It IS the battery model name / spec (e.g. 51.2V-105AH). This is confirmed by the V2-Feb category matrix which lists battery specs as sub-categories. Sec6 attempted to remove sub-categories entirely — but that removed the model-name layer which is essential. Resolution: sub_category is retained but renamed to model_number in relevant places where it already means 'battery model'. The vehicle-type labels (E-Rickshaw etc.) are permanently removed.</w:t>
            </w:r>
          </w:p>
        </w:tc>
      </w:tr>
    </w:tbl>
    <w:p>
      <w:pPr>
        <w:spacing w:after="0" w:before="80"/>
      </w:pPr>
      <w:r>
        <w:t xml:space="preserve"/>
      </w:r>
    </w:p>
    <w:p>
      <w:pPr>
        <w:pStyle w:val="Heading2"/>
        <w:spacing w:after="120" w:before="300"/>
      </w:pPr>
      <w:r>
        <w:rPr>
          <w:rFonts w:ascii="DM Sans" w:cs="DM Sans" w:eastAsia="DM Sans" w:hAnsi="DM Sans"/>
          <w:b/>
          <w:bCs/>
          <w:color w:val="165e73"/>
          <w:sz w:val="28"/>
          <w:szCs w:val="28"/>
        </w:rPr>
        <w:t xml:space="preserve">A.2 Category / Model Matrix — Canonical (Replaces All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Category Code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Battery Models (sub_category / model values)</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Notes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bCs/>
                <w:color w:val="000000"/>
                <w:sz w:val="20"/>
                <w:szCs w:val="20"/>
              </w:rPr>
              <w:t xml:space="preserve">3W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51.2V-105AH | 51.2V-140AH | 51.2V-153AH | 60.8V-105AH | 60.8V-140AH | 60.8V-153AH | 64V-105AH | 64V-140AH | 64V-153AH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RC required. Most common iTarang category.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bCs/>
                <w:color w:val="000000"/>
                <w:sz w:val="20"/>
                <w:szCs w:val="20"/>
              </w:rPr>
              <w:t xml:space="preserve">2W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Defined in product master — NA for now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RC required.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bCs/>
                <w:color w:val="000000"/>
                <w:sz w:val="20"/>
                <w:szCs w:val="20"/>
              </w:rPr>
              <w:t xml:space="preserve">4W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Defined in product master — NA for now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RC required.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bCs/>
                <w:color w:val="000000"/>
                <w:sz w:val="20"/>
                <w:szCs w:val="20"/>
              </w:rPr>
              <w:t xml:space="preserve">INV</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Power Cube 1.4 | Power Cube 1.4+ | Power Cube 2.7 | Power Cube 2.7+ | 5KWh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 RC. No vehicle details.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bCs/>
                <w:color w:val="000000"/>
                <w:sz w:val="20"/>
                <w:szCs w:val="20"/>
              </w:rPr>
              <w:t xml:space="preserve">SOL</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Defined in product master — NA for now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 RC required.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bCs/>
                <w:color w:val="000000"/>
                <w:sz w:val="20"/>
                <w:szCs w:val="20"/>
              </w:rPr>
              <w:t xml:space="preserve">OTH</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Free-form entry allowed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Industrial / custom.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A" w:val="clear"/>
            <w:tcMar>
              <w:top w:type="dxa" w:w="100"/>
              <w:left w:type="dxa" w:w="160"/>
              <w:bottom w:type="dxa" w:w="100"/>
              <w:right w:type="dxa" w:w="160"/>
            </w:tcMar>
          </w:tcPr>
          <w:p>
            <w:pPr>
              <w:spacing w:after="18" w:before="18"/>
            </w:pPr>
            <w:r>
              <w:rPr>
                <w:rFonts w:ascii="Courier New" w:cs="Courier New" w:eastAsia="Courier New" w:hAnsi="Courier New"/>
                <w:color w:val="02314e"/>
                <w:sz w:val="16"/>
                <w:szCs w:val="16"/>
              </w:rPr>
              <w:t xml:space="preserve">// Canonical GET /api/inventory/categories response:</w:t>
            </w:r>
          </w:p>
          <w:p>
            <w:pPr>
              <w:spacing w:after="18" w:before="18"/>
            </w:pPr>
            <w:r>
              <w:rPr>
                <w:rFonts w:ascii="Courier New" w:cs="Courier New" w:eastAsia="Courier New" w:hAnsi="Courier New"/>
                <w:color w:val="02314e"/>
                <w:sz w:val="16"/>
                <w:szCs w:val="16"/>
              </w:rPr>
              <w:t xml:space="preserve">Response: [</w:t>
            </w:r>
          </w:p>
          <w:p>
            <w:pPr>
              <w:spacing w:after="18" w:before="18"/>
            </w:pPr>
            <w:r>
              <w:rPr>
                <w:rFonts w:ascii="Courier New" w:cs="Courier New" w:eastAsia="Courier New" w:hAnsi="Courier New"/>
                <w:color w:val="02314e"/>
                <w:sz w:val="16"/>
                <w:szCs w:val="16"/>
              </w:rPr>
              <w:t xml:space="preserve">  { code: "3W",  label: "3-Wheeler",</w:t>
            </w:r>
          </w:p>
          <w:p>
            <w:pPr>
              <w:spacing w:after="18" w:before="18"/>
            </w:pPr>
            <w:r>
              <w:rPr>
                <w:rFonts w:ascii="Courier New" w:cs="Courier New" w:eastAsia="Courier New" w:hAnsi="Courier New"/>
                <w:color w:val="02314e"/>
                <w:sz w:val="16"/>
                <w:szCs w:val="16"/>
              </w:rPr>
              <w:t xml:space="preserve">    models: ["51.2V-105AH","51.2V-140AH","51.2V-153AH",</w:t>
            </w:r>
          </w:p>
          <w:p>
            <w:pPr>
              <w:spacing w:after="18" w:before="18"/>
            </w:pPr>
            <w:r>
              <w:rPr>
                <w:rFonts w:ascii="Courier New" w:cs="Courier New" w:eastAsia="Courier New" w:hAnsi="Courier New"/>
                <w:color w:val="02314e"/>
                <w:sz w:val="16"/>
                <w:szCs w:val="16"/>
              </w:rPr>
              <w:t xml:space="preserve">             "60.8V-105AH","60.8V-140AH","60.8V-153AH",</w:t>
            </w:r>
          </w:p>
          <w:p>
            <w:pPr>
              <w:spacing w:after="18" w:before="18"/>
            </w:pPr>
            <w:r>
              <w:rPr>
                <w:rFonts w:ascii="Courier New" w:cs="Courier New" w:eastAsia="Courier New" w:hAnsi="Courier New"/>
                <w:color w:val="02314e"/>
                <w:sz w:val="16"/>
                <w:szCs w:val="16"/>
              </w:rPr>
              <w:t xml:space="preserve">             "64V-105AH","64V-140AH","64V-153AH"] },</w:t>
            </w:r>
          </w:p>
          <w:p>
            <w:pPr>
              <w:spacing w:after="18" w:before="18"/>
            </w:pPr>
            <w:r>
              <w:rPr>
                <w:rFonts w:ascii="Courier New" w:cs="Courier New" w:eastAsia="Courier New" w:hAnsi="Courier New"/>
                <w:color w:val="02314e"/>
                <w:sz w:val="16"/>
                <w:szCs w:val="16"/>
              </w:rPr>
              <w:t xml:space="preserve">  { code: "INV", label: "Inverter",</w:t>
            </w:r>
          </w:p>
          <w:p>
            <w:pPr>
              <w:spacing w:after="18" w:before="18"/>
            </w:pPr>
            <w:r>
              <w:rPr>
                <w:rFonts w:ascii="Courier New" w:cs="Courier New" w:eastAsia="Courier New" w:hAnsi="Courier New"/>
                <w:color w:val="02314e"/>
                <w:sz w:val="16"/>
                <w:szCs w:val="16"/>
              </w:rPr>
              <w:t xml:space="preserve">    models: ["Power Cube 1.4","Power Cube 1.4+","Power Cube 2.7","Power Cube 2.7+","5KWh"] },</w:t>
            </w:r>
          </w:p>
          <w:p>
            <w:pPr>
              <w:spacing w:after="18" w:before="18"/>
            </w:pPr>
            <w:r>
              <w:rPr>
                <w:rFonts w:ascii="Courier New" w:cs="Courier New" w:eastAsia="Courier New" w:hAnsi="Courier New"/>
                <w:color w:val="02314e"/>
                <w:sz w:val="16"/>
                <w:szCs w:val="16"/>
              </w:rPr>
              <w:t xml:space="preserve">  { code: "2W",  label: "2-Wheeler", models: [] },</w:t>
            </w:r>
          </w:p>
          <w:p>
            <w:pPr>
              <w:spacing w:after="18" w:before="18"/>
            </w:pPr>
            <w:r>
              <w:rPr>
                <w:rFonts w:ascii="Courier New" w:cs="Courier New" w:eastAsia="Courier New" w:hAnsi="Courier New"/>
                <w:color w:val="02314e"/>
                <w:sz w:val="16"/>
                <w:szCs w:val="16"/>
              </w:rPr>
              <w:t xml:space="preserve">  { code: "4W",  label: "4-Wheeler", models: [] },</w:t>
            </w:r>
          </w:p>
          <w:p>
            <w:pPr>
              <w:spacing w:after="18" w:before="18"/>
            </w:pPr>
            <w:r>
              <w:rPr>
                <w:rFonts w:ascii="Courier New" w:cs="Courier New" w:eastAsia="Courier New" w:hAnsi="Courier New"/>
                <w:color w:val="02314e"/>
                <w:sz w:val="16"/>
                <w:szCs w:val="16"/>
              </w:rPr>
              <w:t xml:space="preserve">  { code: "SOL", label: "Solar",     models: [] },</w:t>
            </w:r>
          </w:p>
          <w:p>
            <w:pPr>
              <w:spacing w:after="18" w:before="18"/>
            </w:pPr>
            <w:r>
              <w:rPr>
                <w:rFonts w:ascii="Courier New" w:cs="Courier New" w:eastAsia="Courier New" w:hAnsi="Courier New"/>
                <w:color w:val="02314e"/>
                <w:sz w:val="16"/>
                <w:szCs w:val="16"/>
              </w:rPr>
              <w:t xml:space="preserve">  { code: "OTH", label: "Other",     models: [] }</w:t>
            </w:r>
          </w:p>
          <w:p>
            <w:pPr>
              <w:spacing w:after="18" w:before="18"/>
            </w:pPr>
            <w:r>
              <w:rPr>
                <w:rFonts w:ascii="Courier New" w:cs="Courier New" w:eastAsia="Courier New" w:hAnsi="Courier New"/>
                <w:color w:val="02314e"/>
                <w:sz w:val="16"/>
                <w:szCs w:val="16"/>
              </w:rPr>
              <w:t xml:space="preserve">]</w:t>
            </w:r>
          </w:p>
          <w:p>
            <w:pPr>
              <w:spacing w:after="18" w:before="18"/>
            </w:pPr>
            <w:r>
              <w:rPr>
                <w:rFonts w:ascii="Courier New" w:cs="Courier New" w:eastAsia="Courier New" w:hAnsi="Courier New"/>
                <w:color w:val="02314e"/>
                <w:sz w:val="16"/>
                <w:szCs w:val="16"/>
              </w:rPr>
              <w:t xml:space="preserve">// Field name returned as 'models' not 'subCategories' — matches the removal of</w:t>
            </w:r>
          </w:p>
          <w:p>
            <w:pPr>
              <w:spacing w:after="18" w:before="18"/>
            </w:pPr>
            <w:r>
              <w:rPr>
                <w:rFonts w:ascii="Courier New" w:cs="Courier New" w:eastAsia="Courier New" w:hAnsi="Courier New"/>
                <w:color w:val="02314e"/>
                <w:sz w:val="16"/>
                <w:szCs w:val="16"/>
              </w:rPr>
              <w:t xml:space="preserve">// vehicle-type sub-categories and confirms these are product/model identifiers.</w:t>
            </w:r>
          </w:p>
        </w:tc>
      </w:tr>
    </w:tbl>
    <w:p>
      <w:pPr>
        <w:spacing w:after="0" w:before="120"/>
      </w:pPr>
      <w:r>
        <w:t xml:space="preserve"/>
      </w:r>
    </w:p>
    <w:p>
      <w:pPr>
        <w:pStyle w:val="Heading2"/>
        <w:spacing w:after="120" w:before="300"/>
      </w:pPr>
      <w:r>
        <w:rPr>
          <w:rFonts w:ascii="DM Sans" w:cs="DM Sans" w:eastAsia="DM Sans" w:hAnsi="DM Sans"/>
          <w:b/>
          <w:bCs/>
          <w:color w:val="165e73"/>
          <w:sz w:val="28"/>
          <w:szCs w:val="28"/>
        </w:rPr>
        <w:t xml:space="preserve">A.3 product_selections — sub_category Column Correction (G-05)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DM Sans" w:cs="DM Sans" w:eastAsia="DM Sans" w:hAnsi="DM Sans"/>
                <w:b/>
                <w:bCs/>
                <w:color w:val="02314e"/>
                <w:sz w:val="20"/>
                <w:szCs w:val="20"/>
              </w:rPr>
              <w:t xml:space="preserve">Migration</w:t>
            </w:r>
          </w:p>
          <w:p>
            <w:pPr>
              <w:spacing w:before="60"/>
            </w:pPr>
            <w:r>
              <w:rPr>
                <w:rFonts w:ascii="DM Sans" w:cs="DM Sans" w:eastAsia="DM Sans" w:hAnsi="DM Sans"/>
                <w:sz w:val="19"/>
                <w:szCs w:val="19"/>
              </w:rPr>
              <w:t xml:space="preserve">product_selections.sub_category VARCHAR(50) → renamed to model_number VARCHAR(100). Contains the battery model name (e.g. '51.2V-105AH'). The FK semantics remain identical — it just has the correct name. All queries using product_selections.sub_category must be updated to product_selections.model_number.</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DM Sans" w:cs="DM Sans" w:eastAsia="DM Sans" w:hAnsi="DM Sans"/>
                <w:color w:val="D6EAF8"/>
                <w:sz w:val="18"/>
                <w:szCs w:val="18"/>
              </w:rPr>
              <w:t xml:space="preserve">Resolution B</w:t>
            </w:r>
          </w:p>
          <w:p>
            <w:pPr>
              <w:jc w:val="center"/>
            </w:pPr>
            <w:r>
              <w:rPr>
                <w:rFonts w:ascii="DM Sans" w:cs="DM Sans" w:eastAsia="DM Sans" w:hAnsi="DM Sans"/>
                <w:b/>
                <w:bCs/>
                <w:color w:val="FFFFFF"/>
                <w:sz w:val="34"/>
                <w:szCs w:val="34"/>
              </w:rPr>
              <w:t xml:space="preserve">Payment Method — Canonical ENUMs</w:t>
            </w:r>
          </w:p>
          <w:p>
            <w:pPr>
              <w:jc w:val="center"/>
            </w:pPr>
            <w:r>
              <w:rPr>
                <w:rFonts w:ascii="DM Sans" w:cs="DM Sans" w:eastAsia="DM Sans" w:hAnsi="DM Sans"/>
                <w:color w:val="F4F7FA"/>
                <w:sz w:val="18"/>
                <w:szCs w:val="18"/>
              </w:rPr>
              <w:t xml:space="preserve">G-02 / G-07 — HIGH / MEDIUM</w:t>
            </w:r>
          </w:p>
        </w:tc>
      </w:tr>
    </w:tbl>
    <w:p>
      <w:pPr>
        <w:spacing w:after="0" w:before="200"/>
      </w:pPr>
      <w:r>
        <w:t xml:space="preserve"/>
      </w:r>
    </w:p>
    <w:p>
      <w:pPr>
        <w:pStyle w:val="Heading1"/>
        <w:spacing w:after="160" w:before="400"/>
      </w:pPr>
      <w:r>
        <w:rPr>
          <w:rFonts w:ascii="DM Sans" w:cs="DM Sans" w:eastAsia="DM Sans" w:hAnsi="DM Sans"/>
          <w:b/>
          <w:bCs/>
          <w:color w:val="02314e"/>
          <w:sz w:val="38"/>
          <w:szCs w:val="38"/>
        </w:rPr>
        <w:t xml:space="preserve">B.1 CANONICAL PAYMENT METHOD MAPPING</w:t>
      </w:r>
    </w:p>
    <w:p>
      <w:pPr>
        <w:pBdr>
          <w:bottom w:val="single" w:color="138fc6" w:sz="6"/>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Table / 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Canonical ENUM</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Note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leads.payment_method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'Cash' | 'Other finance' | 'Dealer finance'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3-value. Mixed case. Source of truth for the lead's payment type. Unchanged.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warranty.payment_mode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'cash' | 'finance'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2-value lowercase. Collapsed from leads.payment_method at write time.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after_sales_records.payment_mode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'cash' | 'finance'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2-value lowercase. Same collapsing rule.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60"/>
              <w:bottom w:type="dxa" w:w="120"/>
              <w:right w:type="dxa" w:w="160"/>
            </w:tcMar>
          </w:tcPr>
          <w:p>
            <w:r>
              <w:rPr>
                <w:rFonts w:ascii="DM Sans" w:cs="DM Sans" w:eastAsia="DM Sans" w:hAnsi="DM Sans"/>
                <w:b/>
                <w:bCs/>
                <w:color w:val="92600A"/>
                <w:sz w:val="20"/>
                <w:szCs w:val="20"/>
              </w:rPr>
              <w:t xml:space="preserve">Mapping Rule — Explicit (must be documented in code)</w:t>
            </w:r>
          </w:p>
          <w:p>
            <w:pPr>
              <w:spacing w:before="60"/>
            </w:pPr>
            <w:r>
              <w:rPr>
                <w:rFonts w:ascii="DM Sans" w:cs="DM Sans" w:eastAsia="DM Sans" w:hAnsi="DM Sans"/>
                <w:sz w:val="19"/>
                <w:szCs w:val="19"/>
              </w:rPr>
              <w:t xml:space="preserve">When writing warranty.payment_mode or after_sales_records.payment_mode from leads.payment_method: 'Cash' → 'cash'. 'Other finance' → 'finance'. 'Dealer finance' → 'finance'. This mapping must be implemented as a named utility function (e.g. toPaymentMode()) applied at both warranty creation and after-sales creation. Never map inline — always call the utility.</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DM Sans" w:cs="DM Sans" w:eastAsia="DM Sans" w:hAnsi="DM Sans"/>
                <w:color w:val="D6EAF8"/>
                <w:sz w:val="18"/>
                <w:szCs w:val="18"/>
              </w:rPr>
              <w:t xml:space="preserve">Resolution C</w:t>
            </w:r>
          </w:p>
          <w:p>
            <w:pPr>
              <w:jc w:val="center"/>
            </w:pPr>
            <w:r>
              <w:rPr>
                <w:rFonts w:ascii="DM Sans" w:cs="DM Sans" w:eastAsia="DM Sans" w:hAnsi="DM Sans"/>
                <w:b/>
                <w:bCs/>
                <w:color w:val="FFFFFF"/>
                <w:sz w:val="34"/>
                <w:szCs w:val="34"/>
              </w:rPr>
              <w:t xml:space="preserve">loan_sanctions — Corrected Schema</w:t>
            </w:r>
          </w:p>
          <w:p>
            <w:pPr>
              <w:jc w:val="center"/>
            </w:pPr>
            <w:r>
              <w:rPr>
                <w:rFonts w:ascii="DM Sans" w:cs="DM Sans" w:eastAsia="DM Sans" w:hAnsi="DM Sans"/>
                <w:color w:val="F4F7FA"/>
                <w:sz w:val="18"/>
                <w:szCs w:val="18"/>
              </w:rPr>
              <w:t xml:space="preserve">G-03 — CRITICAL</w:t>
            </w:r>
          </w:p>
        </w:tc>
      </w:tr>
    </w:tbl>
    <w:p>
      <w:pPr>
        <w:spacing w:after="0" w:before="200"/>
      </w:pPr>
      <w:r>
        <w:t xml:space="preserve"/>
      </w:r>
    </w:p>
    <w:p>
      <w:pPr>
        <w:pStyle w:val="Heading1"/>
        <w:spacing w:after="160" w:before="400"/>
      </w:pPr>
      <w:r>
        <w:rPr>
          <w:rFonts w:ascii="DM Sans" w:cs="DM Sans" w:eastAsia="DM Sans" w:hAnsi="DM Sans"/>
          <w:b/>
          <w:bCs/>
          <w:color w:val="02314e"/>
          <w:sz w:val="38"/>
          <w:szCs w:val="38"/>
        </w:rPr>
        <w:t xml:space="preserve">C.1 CORRECTED loan_sanctions TABLE</w:t>
      </w:r>
    </w:p>
    <w:p>
      <w:pPr>
        <w:pBdr>
          <w:bottom w:val="single" w:color="138fc6" w:sz="6"/>
        </w:pBdr>
        <w:spacing w:after="160" w:before="160"/>
      </w:pPr>
      <w:r>
        <w:t xml:space="preserve"/>
      </w:r>
    </w:p>
    <w:p>
      <w:pPr>
        <w:spacing w:after="60" w:before="60"/>
      </w:pPr>
      <w:r>
        <w:rPr>
          <w:rFonts w:ascii="DM Sans" w:cs="DM Sans" w:eastAsia="DM Sans" w:hAnsi="DM Sans"/>
          <w:b w:val="false"/>
          <w:bCs w:val="false"/>
          <w:color w:val="000000"/>
          <w:sz w:val="20"/>
          <w:szCs w:val="20"/>
        </w:rPr>
        <w:t xml:space="preserve">This replaces the loan_sanctions schema in V2-Feb. The free-text loan_approved_by is retained as a display snapshot but nbfc_id FK and lsp_agreement_id FK are now required columns.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PK AUTO</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loan_sanction_id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VARCHAR(50) UNIQUE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LS-YYYY-LEADREF</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lead_id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references leads.id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product_selection_id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references product_selections.id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nbfc_id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NEW — references nbfc.id. Only active NBFCs selectable. INDEXED. Drives NBFC portal filtering.</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lsp_agreement_id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FK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NEW — references nbfc_lsp_agreements.id. Links loan to governing LSP Agreement.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loan_amount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DECIMAL(12,2)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down_payment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DECIMAL(12,2)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file_charge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DECIMAL(12,2)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subvention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DECIMAL(12,2)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0 if none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disbursement_amount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DECIMAL(12,2)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emi</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DECIMAL(10,2)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Monthly instalment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tenure_months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roi</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DECIMAL(5,2)</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Annual rate %</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loan_approved_by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Snapshot of nbfc.short_name at time of sanction. Retained for display. NOT used for FK joins.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loan_file_number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VARCHAR(100)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NBFC's reference number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sanctioned_by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admin_user_id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sanctioned_at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dealer_approved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BOOLEAN DEFAULT FALSE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dealer_approved_at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TIMESTAMP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dealer_approved_by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NULL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dealer_user_id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disbursed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BOOLEAN DEFAULT FALSE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disbursed_at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TIMESTAMP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status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'pending_dealer_approval'|'dealer_approved'|'disbursed'|'cancelled'</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DM Sans" w:cs="DM Sans" w:eastAsia="DM Sans" w:hAnsi="DM Sans"/>
                <w:color w:val="D6EAF8"/>
                <w:sz w:val="18"/>
                <w:szCs w:val="18"/>
              </w:rPr>
              <w:t xml:space="preserve">Resolution D</w:t>
            </w:r>
          </w:p>
          <w:p>
            <w:pPr>
              <w:jc w:val="center"/>
            </w:pPr>
            <w:r>
              <w:rPr>
                <w:rFonts w:ascii="DM Sans" w:cs="DM Sans" w:eastAsia="DM Sans" w:hAnsi="DM Sans"/>
                <w:b/>
                <w:bCs/>
                <w:color w:val="FFFFFF"/>
                <w:sz w:val="34"/>
                <w:szCs w:val="34"/>
              </w:rPr>
              <w:t xml:space="preserve">dealers Table — Canonical Schema</w:t>
            </w:r>
          </w:p>
          <w:p>
            <w:pPr>
              <w:jc w:val="center"/>
            </w:pPr>
            <w:r>
              <w:rPr>
                <w:rFonts w:ascii="DM Sans" w:cs="DM Sans" w:eastAsia="DM Sans" w:hAnsi="DM Sans"/>
                <w:color w:val="F4F7FA"/>
                <w:sz w:val="18"/>
                <w:szCs w:val="18"/>
              </w:rPr>
              <w:t xml:space="preserve">G-04 / G-08 — CRITICAL / MEDIUM</w:t>
            </w:r>
          </w:p>
        </w:tc>
      </w:tr>
    </w:tbl>
    <w:p>
      <w:pPr>
        <w:spacing w:after="0" w:before="200"/>
      </w:pPr>
      <w:r>
        <w:t xml:space="preserve"/>
      </w:r>
    </w:p>
    <w:p>
      <w:pPr>
        <w:pStyle w:val="Heading1"/>
        <w:spacing w:after="160" w:before="400"/>
      </w:pPr>
      <w:r>
        <w:rPr>
          <w:rFonts w:ascii="DM Sans" w:cs="DM Sans" w:eastAsia="DM Sans" w:hAnsi="DM Sans"/>
          <w:b/>
          <w:bCs/>
          <w:color w:val="02314e"/>
          <w:sz w:val="38"/>
          <w:szCs w:val="38"/>
        </w:rPr>
        <w:t xml:space="preserve">D.1 CANONICAL dealers TABLE (Defined for the First Time)</w:t>
      </w:r>
    </w:p>
    <w:p>
      <w:pPr>
        <w:pBdr>
          <w:bottom w:val="single" w:color="138fc6" w:sz="6"/>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r>
              <w:rPr>
                <w:rFonts w:ascii="DM Sans" w:cs="DM Sans" w:eastAsia="DM Sans" w:hAnsi="DM Sans"/>
                <w:b/>
                <w:bCs/>
                <w:color w:val="C0392B"/>
                <w:sz w:val="20"/>
                <w:szCs w:val="20"/>
              </w:rPr>
              <w:t xml:space="preserve">Why This Is Critical</w:t>
            </w:r>
          </w:p>
          <w:p>
            <w:pPr>
              <w:spacing w:before="60"/>
            </w:pPr>
            <w:r>
              <w:rPr>
                <w:rFonts w:ascii="DM Sans" w:cs="DM Sans" w:eastAsia="DM Sans" w:hAnsi="DM Sans"/>
                <w:sz w:val="19"/>
                <w:szCs w:val="19"/>
              </w:rPr>
              <w:t xml:space="preserve">The dealers table is referenced as a FK target by: inventory.dealer_id, leads.dealer_id, coupons.dealer_id, coupon_batches.dealer_id, kyc_documents.lead_id (indirectly), product_selections.submitted_by, after_sales_records.dealer_id, warranties.dealer_id, paraphernalia_stock.dealer_id, inventory_upload_events.dealer_id, dealer_nbfc_assignments.dealer_id. None of the three BRDs define this table. Resolving this eliminates G-04 and G-08.</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PK AUTO</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Internal integer PK. Used for all FK references in other tables.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VARCHAR(50) UNIQUE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Human-readable ID: DLR-001, DLR-002. Generated on activation. Used in APIs and UI.</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company_name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Legal company name from onboarding Step 1.</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company_type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'sole_proprietorship'|'partnership_firm'|'private_limited'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gst_number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Validated on onboarding.</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pan_number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registered_address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JSON</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{line1, line2, city, district, state, pin}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bank_name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bank_account_number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VARCHAR(50)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Stored encrypted.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bank_ifsc</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bank_beneficiary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bank_branch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bank_account_type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'current'|'savings'|'od'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owner_name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Primary owner / partner 1 / director 1</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owner_phone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owner_email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VARCHAR(200)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Used as dealer login User ID on activation.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finance_enabled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BOOLEAN DEFAULT FALSE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Set TRUE when dealer finance agreement (Digio) COMPLETED and admin approves.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onboarding_status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'draft'|'pending_admin_review'|'request_correction'|'approved'|'active'|'rejected'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application_id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VARCHAR(50)</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Links to dealer_applications.application_id from V2-Feb-2 onboarding flow.</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created_at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updated_at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activated_at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TIMESTAMP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Set when onboarding_status = 'active'. This is when dealer can create leads.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DM Sans" w:cs="DM Sans" w:eastAsia="DM Sans" w:hAnsi="DM Sans"/>
                <w:b/>
                <w:bCs/>
                <w:color w:val="02314e"/>
                <w:sz w:val="20"/>
                <w:szCs w:val="20"/>
              </w:rPr>
              <w:t xml:space="preserve">dealer_id vs dealers.id — Usage Rule</w:t>
            </w:r>
          </w:p>
          <w:p>
            <w:pPr>
              <w:spacing w:before="60"/>
            </w:pPr>
            <w:r>
              <w:rPr>
                <w:rFonts w:ascii="DM Sans" w:cs="DM Sans" w:eastAsia="DM Sans" w:hAnsi="DM Sans"/>
                <w:sz w:val="19"/>
                <w:szCs w:val="19"/>
              </w:rPr>
              <w:t xml:space="preserve">All FK references in other tables use dealers.id (INT). The human-readable dealer_id VARCHAR (DLR-001) is used in APIs, UI displays, file paths (S3), and upload validation messages. Never use the VARCHAR dealer_id as a DB FK — always use the INT id. In API responses, always return both: { id: 42, dealerId: 'DLR-001' }.</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DM Sans" w:cs="DM Sans" w:eastAsia="DM Sans" w:hAnsi="DM Sans"/>
                <w:color w:val="D6EAF8"/>
                <w:sz w:val="18"/>
                <w:szCs w:val="18"/>
              </w:rPr>
              <w:t xml:space="preserve">Resolution E</w:t>
            </w:r>
          </w:p>
          <w:p>
            <w:pPr>
              <w:jc w:val="center"/>
            </w:pPr>
            <w:r>
              <w:rPr>
                <w:rFonts w:ascii="DM Sans" w:cs="DM Sans" w:eastAsia="DM Sans" w:hAnsi="DM Sans"/>
                <w:b/>
                <w:bCs/>
                <w:color w:val="FFFFFF"/>
                <w:sz w:val="34"/>
                <w:szCs w:val="34"/>
              </w:rPr>
              <w:t xml:space="preserve">inventory_transfers — Extended Schema</w:t>
            </w:r>
          </w:p>
          <w:p>
            <w:pPr>
              <w:jc w:val="center"/>
            </w:pPr>
            <w:r>
              <w:rPr>
                <w:rFonts w:ascii="DM Sans" w:cs="DM Sans" w:eastAsia="DM Sans" w:hAnsi="DM Sans"/>
                <w:color w:val="F4F7FA"/>
                <w:sz w:val="18"/>
                <w:szCs w:val="18"/>
              </w:rPr>
              <w:t xml:space="preserve">G-06 — MEDIUM</w:t>
            </w:r>
          </w:p>
        </w:tc>
      </w:tr>
    </w:tbl>
    <w:p>
      <w:pPr>
        <w:spacing w:after="0" w:before="200"/>
      </w:pPr>
      <w:r>
        <w:t xml:space="preserve"/>
      </w:r>
    </w:p>
    <w:p>
      <w:pPr>
        <w:pStyle w:val="Heading1"/>
        <w:spacing w:after="160" w:before="400"/>
      </w:pPr>
      <w:r>
        <w:rPr>
          <w:rFonts w:ascii="DM Sans" w:cs="DM Sans" w:eastAsia="DM Sans" w:hAnsi="DM Sans"/>
          <w:b/>
          <w:bCs/>
          <w:color w:val="02314e"/>
          <w:sz w:val="38"/>
          <w:szCs w:val="38"/>
        </w:rPr>
        <w:t xml:space="preserve">E.1 CORRECTED inventory_transfers TABLE</w:t>
      </w:r>
    </w:p>
    <w:p>
      <w:pPr>
        <w:pBdr>
          <w:bottom w:val="single" w:color="138fc6" w:sz="6"/>
        </w:pBdr>
        <w:spacing w:after="160" w:before="160"/>
      </w:pPr>
      <w:r>
        <w:t xml:space="preserve"/>
      </w:r>
    </w:p>
    <w:p>
      <w:pPr>
        <w:spacing w:after="60" w:before="60"/>
      </w:pPr>
      <w:r>
        <w:rPr>
          <w:rFonts w:ascii="DM Sans" w:cs="DM Sans" w:eastAsia="DM Sans" w:hAnsi="DM Sans"/>
          <w:b w:val="false"/>
          <w:bCs w:val="false"/>
          <w:color w:val="000000"/>
          <w:sz w:val="20"/>
          <w:szCs w:val="20"/>
        </w:rPr>
        <w:t xml:space="preserve">The V2-Feb schema has a 2-state status ENUM with no rejection path. Section 6.S.5 specifies a reject-transfer workflow. The schema is updated to accommodate both.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Column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Notes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PK AUTO</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transfer_id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VARCHAR(50) UNIQUE</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TRF-YYYYMMDD-SEQ</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source_dealer_id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references dealers.id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target_dealer_id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references dealers.id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serials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JSON</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Array of serial_numbers being transferred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reason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TEXT</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Admin-entered reason for transfer</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status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ENUM</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'pending_acknowledgement'|'completed'|'rejected_by_target'|'cancelled_by_admin'</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initiated_by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admin_user_id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initiated_at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TIMESTAMP</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acknowledged_by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NULL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dealer_user_id — set on completed or rejected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acknowledged_at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TIMESTAMP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rejected_by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INT NULL FK</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NEW — dealer_user_id who rejected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rejected_at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TIMESTAMP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NEW</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rejection_reason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TEXT NULL</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NEW — dealer's stated reason for rejection</w:t>
            </w:r>
          </w:p>
        </w:tc>
      </w:tr>
    </w:tbl>
    <w:p>
      <w:pPr>
        <w:spacing w:after="0" w:before="200"/>
      </w:pPr>
      <w:r>
        <w:t xml:space="preserve"/>
      </w:r>
    </w:p>
    <w:p>
      <w:pPr>
        <w:pBdr>
          <w:bottom w:val="single" w:color="02314e" w:sz="12"/>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2314e" w:val="clear"/>
            <w:tcMar>
              <w:top w:type="dxa" w:w="200"/>
              <w:left w:type="dxa" w:w="240"/>
              <w:bottom w:type="dxa" w:w="200"/>
              <w:right w:type="dxa" w:w="240"/>
            </w:tcMar>
          </w:tcPr>
          <w:p>
            <w:pPr>
              <w:jc w:val="center"/>
            </w:pPr>
            <w:r>
              <w:rPr>
                <w:rFonts w:ascii="DM Sans" w:cs="DM Sans" w:eastAsia="DM Sans" w:hAnsi="DM Sans"/>
                <w:color w:val="D6EAF8"/>
                <w:sz w:val="18"/>
                <w:szCs w:val="18"/>
              </w:rPr>
              <w:t xml:space="preserve">Resolution F</w:t>
            </w:r>
          </w:p>
          <w:p>
            <w:pPr>
              <w:jc w:val="center"/>
            </w:pPr>
            <w:r>
              <w:rPr>
                <w:rFonts w:ascii="DM Sans" w:cs="DM Sans" w:eastAsia="DM Sans" w:hAnsi="DM Sans"/>
                <w:b/>
                <w:bCs/>
                <w:color w:val="FFFFFF"/>
                <w:sz w:val="34"/>
                <w:szCs w:val="34"/>
              </w:rPr>
              <w:t xml:space="preserve">Lead Creation Gate — Dealer Status Check</w:t>
            </w:r>
          </w:p>
          <w:p>
            <w:pPr>
              <w:jc w:val="center"/>
            </w:pPr>
            <w:r>
              <w:rPr>
                <w:rFonts w:ascii="DM Sans" w:cs="DM Sans" w:eastAsia="DM Sans" w:hAnsi="DM Sans"/>
                <w:color w:val="F4F7FA"/>
                <w:sz w:val="18"/>
                <w:szCs w:val="18"/>
              </w:rPr>
              <w:t xml:space="preserve">G-10 — MEDIUM</w:t>
            </w:r>
          </w:p>
        </w:tc>
      </w:tr>
    </w:tbl>
    <w:p>
      <w:pPr>
        <w:spacing w:after="0" w:before="200"/>
      </w:pPr>
      <w:r>
        <w:t xml:space="preserve"/>
      </w:r>
    </w:p>
    <w:p>
      <w:pPr>
        <w:pStyle w:val="Heading1"/>
        <w:spacing w:after="160" w:before="400"/>
      </w:pPr>
      <w:r>
        <w:rPr>
          <w:rFonts w:ascii="DM Sans" w:cs="DM Sans" w:eastAsia="DM Sans" w:hAnsi="DM Sans"/>
          <w:b/>
          <w:bCs/>
          <w:color w:val="02314e"/>
          <w:sz w:val="38"/>
          <w:szCs w:val="38"/>
        </w:rPr>
        <w:t xml:space="preserve">F.1 LEAD CREATION — DEALER VALIDATION GATE</w:t>
      </w:r>
    </w:p>
    <w:p>
      <w:pPr>
        <w:pBdr>
          <w:bottom w:val="single" w:color="138fc6" w:sz="6"/>
        </w:pBdr>
        <w:spacing w:after="160" w:before="160"/>
      </w:pPr>
      <w:r>
        <w:t xml:space="preserve"/>
      </w:r>
    </w:p>
    <w:p>
      <w:pPr>
        <w:spacing w:after="60" w:before="60"/>
      </w:pPr>
      <w:r>
        <w:rPr>
          <w:rFonts w:ascii="DM Sans" w:cs="DM Sans" w:eastAsia="DM Sans" w:hAnsi="DM Sans"/>
          <w:b w:val="false"/>
          <w:bCs w:val="false"/>
          <w:color w:val="000000"/>
          <w:sz w:val="20"/>
          <w:szCs w:val="20"/>
        </w:rPr>
        <w:t xml:space="preserve">POST /api/leads/create must validate the dealer's account status before creating a lead. This prevents leads from being created against unactivated or rejected dealers.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A" w:val="clear"/>
            <w:tcMar>
              <w:top w:type="dxa" w:w="100"/>
              <w:left w:type="dxa" w:w="160"/>
              <w:bottom w:type="dxa" w:w="100"/>
              <w:right w:type="dxa" w:w="160"/>
            </w:tcMar>
          </w:tcPr>
          <w:p>
            <w:pPr>
              <w:spacing w:after="18" w:before="18"/>
            </w:pPr>
            <w:r>
              <w:rPr>
                <w:rFonts w:ascii="Courier New" w:cs="Courier New" w:eastAsia="Courier New" w:hAnsi="Courier New"/>
                <w:color w:val="02314e"/>
                <w:sz w:val="16"/>
                <w:szCs w:val="16"/>
              </w:rPr>
              <w:t xml:space="preserve">POST /api/leads/create</w:t>
            </w:r>
          </w:p>
          <w:p>
            <w:pPr>
              <w:spacing w:after="18" w:before="18"/>
            </w:pPr>
            <w:r>
              <w:rPr>
                <w:rFonts w:ascii="Courier New" w:cs="Courier New" w:eastAsia="Courier New" w:hAnsi="Courier New"/>
                <w:color w:val="02314e"/>
                <w:sz w:val="16"/>
                <w:szCs w:val="16"/>
              </w:rPr>
              <w:t xml:space="preserve"/>
            </w:r>
          </w:p>
          <w:p>
            <w:pPr>
              <w:spacing w:after="18" w:before="18"/>
            </w:pPr>
            <w:r>
              <w:rPr>
                <w:rFonts w:ascii="Courier New" w:cs="Courier New" w:eastAsia="Courier New" w:hAnsi="Courier New"/>
                <w:color w:val="02314e"/>
                <w:sz w:val="16"/>
                <w:szCs w:val="16"/>
              </w:rPr>
              <w:t xml:space="preserve">Pre-creation validation (before any lead record is inserted):</w:t>
            </w:r>
          </w:p>
          <w:p>
            <w:pPr>
              <w:spacing w:after="18" w:before="18"/>
            </w:pPr>
            <w:r>
              <w:rPr>
                <w:rFonts w:ascii="Courier New" w:cs="Courier New" w:eastAsia="Courier New" w:hAnsi="Courier New"/>
                <w:color w:val="02314e"/>
                <w:sz w:val="16"/>
                <w:szCs w:val="16"/>
              </w:rPr>
              <w:t xml:space="preserve">  1. Fetch dealers WHERE id = token.dealer_id</w:t>
            </w:r>
          </w:p>
          <w:p>
            <w:pPr>
              <w:spacing w:after="18" w:before="18"/>
            </w:pPr>
            <w:r>
              <w:rPr>
                <w:rFonts w:ascii="Courier New" w:cs="Courier New" w:eastAsia="Courier New" w:hAnsi="Courier New"/>
                <w:color w:val="02314e"/>
                <w:sz w:val="16"/>
                <w:szCs w:val="16"/>
              </w:rPr>
              <w:t xml:space="preserve">  2. IF dealer.onboarding_status != 'active':</w:t>
            </w:r>
          </w:p>
          <w:p>
            <w:pPr>
              <w:spacing w:after="18" w:before="18"/>
            </w:pPr>
            <w:r>
              <w:rPr>
                <w:rFonts w:ascii="Courier New" w:cs="Courier New" w:eastAsia="Courier New" w:hAnsi="Courier New"/>
                <w:color w:val="02314e"/>
                <w:sz w:val="16"/>
                <w:szCs w:val="16"/>
              </w:rPr>
              <w:t xml:space="preserve">       RETURN 403 {</w:t>
            </w:r>
          </w:p>
          <w:p>
            <w:pPr>
              <w:spacing w:after="18" w:before="18"/>
            </w:pPr>
            <w:r>
              <w:rPr>
                <w:rFonts w:ascii="Courier New" w:cs="Courier New" w:eastAsia="Courier New" w:hAnsi="Courier New"/>
                <w:color w:val="02314e"/>
                <w:sz w:val="16"/>
                <w:szCs w:val="16"/>
              </w:rPr>
              <w:t xml:space="preserve">         error: "DEALER_NOT_ACTIVE",</w:t>
            </w:r>
          </w:p>
          <w:p>
            <w:pPr>
              <w:spacing w:after="18" w:before="18"/>
            </w:pPr>
            <w:r>
              <w:rPr>
                <w:rFonts w:ascii="Courier New" w:cs="Courier New" w:eastAsia="Courier New" w:hAnsi="Courier New"/>
                <w:color w:val="02314e"/>
                <w:sz w:val="16"/>
                <w:szCs w:val="16"/>
              </w:rPr>
              <w:t xml:space="preserve">         message: "Your dealer account is not yet active. Current status: {status}.",</w:t>
            </w:r>
          </w:p>
          <w:p>
            <w:pPr>
              <w:spacing w:after="18" w:before="18"/>
            </w:pPr>
            <w:r>
              <w:rPr>
                <w:rFonts w:ascii="Courier New" w:cs="Courier New" w:eastAsia="Courier New" w:hAnsi="Courier New"/>
                <w:color w:val="02314e"/>
                <w:sz w:val="16"/>
                <w:szCs w:val="16"/>
              </w:rPr>
              <w:t xml:space="preserve">         currentStatus: dealer.onboarding_status</w:t>
            </w:r>
          </w:p>
          <w:p>
            <w:pPr>
              <w:spacing w:after="18" w:before="18"/>
            </w:pPr>
            <w:r>
              <w:rPr>
                <w:rFonts w:ascii="Courier New" w:cs="Courier New" w:eastAsia="Courier New" w:hAnsi="Courier New"/>
                <w:color w:val="02314e"/>
                <w:sz w:val="16"/>
                <w:szCs w:val="16"/>
              </w:rPr>
              <w:t xml:space="preserve">       }</w:t>
            </w:r>
          </w:p>
          <w:p>
            <w:pPr>
              <w:spacing w:after="18" w:before="18"/>
            </w:pPr>
            <w:r>
              <w:rPr>
                <w:rFonts w:ascii="Courier New" w:cs="Courier New" w:eastAsia="Courier New" w:hAnsi="Courier New"/>
                <w:color w:val="02314e"/>
                <w:sz w:val="16"/>
                <w:szCs w:val="16"/>
              </w:rPr>
              <w:t xml:space="preserve"/>
            </w:r>
          </w:p>
          <w:p>
            <w:pPr>
              <w:spacing w:after="18" w:before="18"/>
            </w:pPr>
            <w:r>
              <w:rPr>
                <w:rFonts w:ascii="Courier New" w:cs="Courier New" w:eastAsia="Courier New" w:hAnsi="Courier New"/>
                <w:color w:val="02314e"/>
                <w:sz w:val="16"/>
                <w:szCs w:val="16"/>
              </w:rPr>
              <w:t xml:space="preserve">  3. For finance-path leads (payment_method != 'Cash'):</w:t>
            </w:r>
          </w:p>
          <w:p>
            <w:pPr>
              <w:spacing w:after="18" w:before="18"/>
            </w:pPr>
            <w:r>
              <w:rPr>
                <w:rFonts w:ascii="Courier New" w:cs="Courier New" w:eastAsia="Courier New" w:hAnsi="Courier New"/>
                <w:color w:val="02314e"/>
                <w:sz w:val="16"/>
                <w:szCs w:val="16"/>
              </w:rPr>
              <w:t xml:space="preserve">     IF dealer.finance_enabled = false:</w:t>
            </w:r>
          </w:p>
          <w:p>
            <w:pPr>
              <w:spacing w:after="18" w:before="18"/>
            </w:pPr>
            <w:r>
              <w:rPr>
                <w:rFonts w:ascii="Courier New" w:cs="Courier New" w:eastAsia="Courier New" w:hAnsi="Courier New"/>
                <w:color w:val="02314e"/>
                <w:sz w:val="16"/>
                <w:szCs w:val="16"/>
              </w:rPr>
              <w:t xml:space="preserve">       RETURN 403 {</w:t>
            </w:r>
          </w:p>
          <w:p>
            <w:pPr>
              <w:spacing w:after="18" w:before="18"/>
            </w:pPr>
            <w:r>
              <w:rPr>
                <w:rFonts w:ascii="Courier New" w:cs="Courier New" w:eastAsia="Courier New" w:hAnsi="Courier New"/>
                <w:color w:val="02314e"/>
                <w:sz w:val="16"/>
                <w:szCs w:val="16"/>
              </w:rPr>
              <w:t xml:space="preserve">         error: "FINANCE_NOT_ENABLED",</w:t>
            </w:r>
          </w:p>
          <w:p>
            <w:pPr>
              <w:spacing w:after="18" w:before="18"/>
            </w:pPr>
            <w:r>
              <w:rPr>
                <w:rFonts w:ascii="Courier New" w:cs="Courier New" w:eastAsia="Courier New" w:hAnsi="Courier New"/>
                <w:color w:val="02314e"/>
                <w:sz w:val="16"/>
                <w:szCs w:val="16"/>
              </w:rPr>
              <w:t xml:space="preserve">         message: "Finance-path leads require Finance Enablement to be active.</w:t>
            </w:r>
          </w:p>
          <w:p>
            <w:pPr>
              <w:spacing w:after="18" w:before="18"/>
            </w:pPr>
            <w:r>
              <w:rPr>
                <w:rFonts w:ascii="Courier New" w:cs="Courier New" w:eastAsia="Courier New" w:hAnsi="Courier New"/>
                <w:color w:val="02314e"/>
                <w:sz w:val="16"/>
                <w:szCs w:val="16"/>
              </w:rPr>
              <w:t xml:space="preserve">                   Please contact iTarang to activate.",</w:t>
            </w:r>
          </w:p>
          <w:p>
            <w:pPr>
              <w:spacing w:after="18" w:before="18"/>
            </w:pPr>
            <w:r>
              <w:rPr>
                <w:rFonts w:ascii="Courier New" w:cs="Courier New" w:eastAsia="Courier New" w:hAnsi="Courier New"/>
                <w:color w:val="02314e"/>
                <w:sz w:val="16"/>
                <w:szCs w:val="16"/>
              </w:rPr>
              <w:t xml:space="preserve">       }</w:t>
            </w:r>
          </w:p>
          <w:p>
            <w:pPr>
              <w:spacing w:after="18" w:before="18"/>
            </w:pPr>
            <w:r>
              <w:rPr>
                <w:rFonts w:ascii="Courier New" w:cs="Courier New" w:eastAsia="Courier New" w:hAnsi="Courier New"/>
                <w:color w:val="02314e"/>
                <w:sz w:val="16"/>
                <w:szCs w:val="16"/>
              </w:rPr>
              <w:t xml:space="preserve"/>
            </w:r>
          </w:p>
          <w:p>
            <w:pPr>
              <w:spacing w:after="18" w:before="18"/>
            </w:pPr>
            <w:r>
              <w:rPr>
                <w:rFonts w:ascii="Courier New" w:cs="Courier New" w:eastAsia="Courier New" w:hAnsi="Courier New"/>
                <w:color w:val="02314e"/>
                <w:sz w:val="16"/>
                <w:szCs w:val="16"/>
              </w:rPr>
              <w:t xml:space="preserve">  4. For finance-path leads:</w:t>
            </w:r>
          </w:p>
          <w:p>
            <w:pPr>
              <w:spacing w:after="18" w:before="18"/>
            </w:pPr>
            <w:r>
              <w:rPr>
                <w:rFonts w:ascii="Courier New" w:cs="Courier New" w:eastAsia="Courier New" w:hAnsi="Courier New"/>
                <w:color w:val="02314e"/>
                <w:sz w:val="16"/>
                <w:szCs w:val="16"/>
              </w:rPr>
              <w:t xml:space="preserve">     Check dealer_nbfc_assignments: SELECT COUNT(*) WHERE dealer_id = :id AND status = 'active'</w:t>
            </w:r>
          </w:p>
          <w:p>
            <w:pPr>
              <w:spacing w:after="18" w:before="18"/>
            </w:pPr>
            <w:r>
              <w:rPr>
                <w:rFonts w:ascii="Courier New" w:cs="Courier New" w:eastAsia="Courier New" w:hAnsi="Courier New"/>
                <w:color w:val="02314e"/>
                <w:sz w:val="16"/>
                <w:szCs w:val="16"/>
              </w:rPr>
              <w:t xml:space="preserve">     IF count = 0:</w:t>
            </w:r>
          </w:p>
          <w:p>
            <w:pPr>
              <w:spacing w:after="18" w:before="18"/>
            </w:pPr>
            <w:r>
              <w:rPr>
                <w:rFonts w:ascii="Courier New" w:cs="Courier New" w:eastAsia="Courier New" w:hAnsi="Courier New"/>
                <w:color w:val="02314e"/>
                <w:sz w:val="16"/>
                <w:szCs w:val="16"/>
              </w:rPr>
              <w:t xml:space="preserve">       RETURN 403 {</w:t>
            </w:r>
          </w:p>
          <w:p>
            <w:pPr>
              <w:spacing w:after="18" w:before="18"/>
            </w:pPr>
            <w:r>
              <w:rPr>
                <w:rFonts w:ascii="Courier New" w:cs="Courier New" w:eastAsia="Courier New" w:hAnsi="Courier New"/>
                <w:color w:val="02314e"/>
                <w:sz w:val="16"/>
                <w:szCs w:val="16"/>
              </w:rPr>
              <w:t xml:space="preserve">         error: "NO_ACTIVE_NBFC",</w:t>
            </w:r>
          </w:p>
          <w:p>
            <w:pPr>
              <w:spacing w:after="18" w:before="18"/>
            </w:pPr>
            <w:r>
              <w:rPr>
                <w:rFonts w:ascii="Courier New" w:cs="Courier New" w:eastAsia="Courier New" w:hAnsi="Courier New"/>
                <w:color w:val="02314e"/>
                <w:sz w:val="16"/>
                <w:szCs w:val="16"/>
              </w:rPr>
              <w:t xml:space="preserve">         message: "No active lending partner is assigned to your account.</w:t>
            </w:r>
          </w:p>
          <w:p>
            <w:pPr>
              <w:spacing w:after="18" w:before="18"/>
            </w:pPr>
            <w:r>
              <w:rPr>
                <w:rFonts w:ascii="Courier New" w:cs="Courier New" w:eastAsia="Courier New" w:hAnsi="Courier New"/>
                <w:color w:val="02314e"/>
                <w:sz w:val="16"/>
                <w:szCs w:val="16"/>
              </w:rPr>
              <w:t xml:space="preserve">                   Please contact iTarang admin."</w:t>
            </w:r>
          </w:p>
          <w:p>
            <w:pPr>
              <w:spacing w:after="18" w:before="18"/>
            </w:pPr>
            <w:r>
              <w:rPr>
                <w:rFonts w:ascii="Courier New" w:cs="Courier New" w:eastAsia="Courier New" w:hAnsi="Courier New"/>
                <w:color w:val="02314e"/>
                <w:sz w:val="16"/>
                <w:szCs w:val="16"/>
              </w:rPr>
              <w:t xml:space="preserve">       }</w:t>
            </w:r>
          </w:p>
          <w:p>
            <w:pPr>
              <w:spacing w:after="18" w:before="18"/>
            </w:pPr>
            <w:r>
              <w:rPr>
                <w:rFonts w:ascii="Courier New" w:cs="Courier New" w:eastAsia="Courier New" w:hAnsi="Courier New"/>
                <w:color w:val="02314e"/>
                <w:sz w:val="16"/>
                <w:szCs w:val="16"/>
              </w:rPr>
              <w:t xml:space="preserve"/>
            </w:r>
          </w:p>
          <w:p>
            <w:pPr>
              <w:spacing w:after="18" w:before="18"/>
            </w:pPr>
            <w:r>
              <w:rPr>
                <w:rFonts w:ascii="Courier New" w:cs="Courier New" w:eastAsia="Courier New" w:hAnsi="Courier New"/>
                <w:color w:val="02314e"/>
                <w:sz w:val="16"/>
                <w:szCs w:val="16"/>
              </w:rPr>
              <w:t xml:space="preserve">  5. All checks passed → proceed with lead creation.</w:t>
            </w:r>
          </w:p>
        </w:tc>
      </w:tr>
    </w:tbl>
    <w:p>
      <w:pPr>
        <w:spacing w:after="0" w:before="200"/>
      </w:pPr>
      <w:r>
        <w:t xml:space="preserve"/>
      </w:r>
    </w:p>
    <w:p>
      <w:pPr>
        <w:pBdr>
          <w:bottom w:val="single" w:color="02314e" w:sz="12"/>
        </w:pBdr>
        <w:spacing w:after="200" w:before="200"/>
      </w:pPr>
      <w:r>
        <w:t xml:space="preserve"/>
      </w:r>
    </w:p>
    <w:p>
      <w:pPr>
        <w:pStyle w:val="Heading1"/>
        <w:spacing w:after="160" w:before="400"/>
      </w:pPr>
      <w:r>
        <w:rPr>
          <w:rFonts w:ascii="DM Sans" w:cs="DM Sans" w:eastAsia="DM Sans" w:hAnsi="DM Sans"/>
          <w:b/>
          <w:bCs/>
          <w:color w:val="02314e"/>
          <w:sz w:val="38"/>
          <w:szCs w:val="38"/>
        </w:rPr>
        <w:t xml:space="preserve">COMPLETE SYNC STATUS MATRIX</w:t>
      </w:r>
    </w:p>
    <w:p>
      <w:pPr>
        <w:pBdr>
          <w:bottom w:val="single" w:color="138fc6" w:sz="6"/>
        </w:pBdr>
        <w:spacing w:after="160" w:before="160"/>
      </w:pPr>
      <w:r>
        <w:t xml:space="preserve"/>
      </w:r>
    </w:p>
    <w:p>
      <w:pPr>
        <w:spacing w:after="60" w:before="60"/>
      </w:pPr>
      <w:r>
        <w:rPr>
          <w:rFonts w:ascii="DM Sans" w:cs="DM Sans" w:eastAsia="DM Sans" w:hAnsi="DM Sans"/>
          <w:b w:val="false"/>
          <w:bCs w:val="false"/>
          <w:color w:val="000000"/>
          <w:sz w:val="20"/>
          <w:szCs w:val="20"/>
        </w:rPr>
        <w:t xml:space="preserve">Final status of every workflow and schema element across all three documents after applying all resolutions in this audit.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60"/>
        <w:gridCol w:w="1960"/>
        <w:gridCol w:w="1960"/>
        <w:gridCol w:w="840"/>
      </w:tblGrid>
      <w:tr>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Element</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V2-Feb (Lead/Loan)</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V2-Feb-2 (Dealer)</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Sec6 (NBFC)</w:t>
            </w:r>
          </w:p>
        </w:tc>
        <w:tc>
          <w:tcPr>
            <w:tcW w:type="dxa" w:w="4680"/>
            <w:gridSpan w:val="1"/>
            <w:tcBorders>
              <w:top w:val="single" w:color="CCCCCC" w:sz="1"/>
              <w:left w:val="single" w:color="CCCCCC" w:sz="1"/>
              <w:bottom w:val="single" w:color="CCCCCC" w:sz="1"/>
              <w:right w:val="single" w:color="CCCCCC" w:sz="1"/>
            </w:tcBorders>
            <w:shd w:fill="02314e" w:val="clear"/>
            <w:tcMar>
              <w:top w:type="dxa" w:w="80"/>
              <w:left w:type="dxa" w:w="120"/>
              <w:bottom w:type="dxa" w:w="80"/>
              <w:right w:type="dxa" w:w="120"/>
            </w:tcMar>
            <w:vAlign w:val="center"/>
          </w:tcPr>
          <w:p>
            <w:pPr>
              <w:jc w:val="left"/>
            </w:pPr>
            <w:r>
              <w:rPr>
                <w:rFonts w:ascii="DM Sans" w:cs="DM Sans" w:eastAsia="DM Sans" w:hAnsi="DM Sans"/>
                <w:b/>
                <w:bCs/>
                <w:color w:val="FFFFFF"/>
                <w:sz w:val="18"/>
                <w:szCs w:val="18"/>
              </w:rPr>
              <w:t xml:space="preserve">Status</w:t>
            </w:r>
          </w:p>
        </w:tc>
      </w:tr>
      <w:tr>
        <w:tc>
          <w:tcPr>
            <w:tcW w:type="dxa" w:w="4680"/>
            <w:gridSpan w:val="1"/>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DM Sans" w:cs="DM Sans" w:eastAsia="DM Sans" w:hAnsi="DM Sans"/>
                <w:b/>
                <w:bCs/>
                <w:color w:val="000000"/>
                <w:sz w:val="20"/>
                <w:szCs w:val="20"/>
              </w:rPr>
              <w:t xml:space="preserve">Lead creation (Steps 1–5)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Fully specified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in scope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Referenced in 6.5 workflow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 onboarding (6 steps)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Assumes dealer exists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Fully specified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Referenced in overview</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NBFC onboarding (6 steps + Digio)</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in scope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in scope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Section 6.0 + 6.S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Finance path gate (dealer → NBFC)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Assumes finance enabled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Finance Enablement flag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dealer_nbfc_assignments added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G-10 fixed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Digio eSign — dealer agreement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in scope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Full spec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Webhook unified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Digio eSign — NBFC LSP agreement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in scope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in scope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Section 6.0.4a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IoT telemetry ingestion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SOC referenced in Step 4</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in scope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Section 6.2 full spec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Inventory transfer + iot_devices sync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Transfer flow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in scope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iot_devices dealer_id fix in 6.S.5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w:t>
            </w:r>
          </w:p>
        </w:tc>
      </w:tr>
      <w:tr>
        <w:tc>
          <w:tcPr>
            <w:tcW w:type="dxa" w:w="4680"/>
            <w:gridSpan w:val="1"/>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DM Sans" w:cs="DM Sans" w:eastAsia="DM Sans" w:hAnsi="DM Sans"/>
                <w:b/>
                <w:bCs/>
                <w:color w:val="000000"/>
                <w:sz w:val="20"/>
                <w:szCs w:val="20"/>
              </w:rPr>
              <w:t xml:space="preserve">dealers table schema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Referenced, not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Referenced, not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Referenced, not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G-04 fixed (Sec 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leads.payment_method ENUM</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3-value mixed case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referenced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referenced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Canonical defined (Sec B)</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warranty.payment_mode ENUM</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2-value lowercase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referenced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2-value lowercase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Mapping rule defined (Sec B)</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after_sales_records.payment_mode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2-value lowercase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referenced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2-value lowercase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 (Sec B)</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loan_sanctions.nbfc_id FK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Missing — free text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referenced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Defined in 6.S.3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G-03 fixed (Sec 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loan_sanctions.lsp_agreement_id FK</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Missing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referenced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Defined in 6.S.3</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G-03 fixed (Sec 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product_selections.sub_category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sub_category column exists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referenced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Removed sub-category concept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G-05 fixed: → model_number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Category / model matrix</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3W → battery specs as sub-cats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referenced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3W | 2W | 4W | INV | SOL | OTH only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G-01/09 fixed (Sec A)</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inventory_transfers rejection fields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2-state ENUM, no rejection</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referenced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reject-transfer API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G-06 fixed (Sec 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dealer_nbfc_assignments table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Finance Enablement flag only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Defined in 6.0.8</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nbfc_lsp_agreements table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Defined in 6.0.4a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Brand guidelines / design tokens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Not defined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000000"/>
                <w:sz w:val="20"/>
                <w:szCs w:val="20"/>
              </w:rPr>
              <w:t xml:space="preserve">✅ Section 6.B full spec</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DM Sans" w:cs="DM Sans" w:eastAsia="DM Sans" w:hAnsi="DM Sans"/>
                <w:b w:val="false"/>
                <w:bCs w:val="false"/>
                <w:color w:val="1E7E34"/>
                <w:sz w:val="20"/>
                <w:szCs w:val="20"/>
              </w:rPr>
              <w:t xml:space="preserve">✅ IN SYNC</w:t>
            </w:r>
          </w:p>
        </w:tc>
      </w:tr>
    </w:tbl>
    <w:p>
      <w:pPr>
        <w:spacing w:after="0" w:before="200"/>
      </w:pPr>
      <w:r>
        <w:t xml:space="preserve"/>
      </w:r>
    </w:p>
    <w:p>
      <w:pPr>
        <w:spacing w:after="60" w:before="60"/>
      </w:pPr>
      <w:r>
        <w:rPr>
          <w:rFonts w:ascii="DM Sans" w:cs="DM Sans" w:eastAsia="DM Sans" w:hAnsi="DM Sans"/>
          <w:b w:val="false"/>
          <w:bCs w:val="false"/>
          <w:color w:val="165e73"/>
          <w:sz w:val="20"/>
          <w:szCs w:val="20"/>
        </w:rPr>
        <w:t xml:space="preserve">— End of Cross-Document Sync Audit — All 10 gaps identified and resolved —</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DM Sans" w:cs="DM Sans" w:eastAsia="DM Sans" w:hAnsi="DM Sans"/>
      <w:b/>
      <w:bCs/>
      <w:color w:val="02314e"/>
      <w:sz w:val="38"/>
      <w:szCs w:val="38"/>
    </w:rPr>
  </w:style>
  <w:style w:type="paragraph" w:styleId="Heading2">
    <w:name w:val="Heading 2"/>
    <w:basedOn w:val="Normal"/>
    <w:next w:val="Normal"/>
    <w:qFormat/>
    <w:pPr>
      <w:spacing w:after="120" w:before="300"/>
      <w:outlineLvl w:val="1"/>
    </w:pPr>
    <w:rPr>
      <w:rFonts w:ascii="DM Sans" w:cs="DM Sans" w:eastAsia="DM Sans" w:hAnsi="DM Sans"/>
      <w:b/>
      <w:bCs/>
      <w:color w:val="165e73"/>
      <w:sz w:val="28"/>
      <w:szCs w:val="28"/>
    </w:rPr>
  </w:style>
  <w:style w:type="paragraph" w:styleId="Heading3">
    <w:name w:val="Heading 3"/>
    <w:basedOn w:val="Normal"/>
    <w:next w:val="Normal"/>
    <w:qFormat/>
    <w:pPr>
      <w:spacing w:after="80" w:before="200"/>
      <w:outlineLvl w:val="2"/>
    </w:pPr>
    <w:rPr>
      <w:rFonts w:ascii="DM Sans" w:cs="DM Sans" w:eastAsia="DM Sans" w:hAnsi="DM Sans"/>
      <w:b/>
      <w:bCs/>
      <w:color w:val="138fc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72a1871873bda7c950120e3a6005eab1312ce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2026-04-29T11:04:57.282Z</dcterms:created>
  <dcterms:modified xsi:type="dcterms:W3CDTF">2026-04-29T11:04:57.283Z</dcterms:modified>
</cp:coreProperties>
</file>

<file path=docProps/custom.xml><?xml version="1.0" encoding="utf-8"?>
<Properties xmlns="http://schemas.openxmlformats.org/officeDocument/2006/custom-properties" xmlns:vt="http://schemas.openxmlformats.org/officeDocument/2006/docPropsVTypes"/>
</file>