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Website Content Pieces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65100"/>
          <w:sz w:val="48"/>
          <w:szCs w:val="48"/>
        </w:rPr>
        <w:t xml:space="preserve">Aligned to Pre-Seed Deck</w:t>
      </w:r>
    </w:p>
    <w:p>
      <w:pPr>
        <w:pBdr>
          <w:bottom w:val="single" w:color="1B5E20" w:sz="6" w:space="16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Prioritised list of concrete content pieces with exact copy,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data points, and gap fills — ready for the content team to execute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March 2026 • iTarang Technologies • itarang.com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How to Read This Document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content piece below is ranked in descending order of importance for converting investors and NBFCs. For each piece, you’ll find: the deck slide it maps to, the exact data/claims from your deck to use, gaps that need filling, and specific instructions for creating it.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first 5 pieces are CRITICAL — without these, the website actively contradicts the deck’s narrative. Pieces 6–12 are HIGH priority — they build the full story. Pieces 13+ are MEDIUM — they compound trust over time.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#1 •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Homepage Hero: Repositioned Narrative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 (primary), NBFCs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 (Title), Slide 2 (Hook)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BROKEN — Current hero says “Powering Mobility for Bharat with smarter EV batteries and finance” which positions iTarang as a battery seller. The deck positions iTarang as a battery intelligence + lifecycle platform.</w:t>
            </w:r>
          </w:p>
        </w:tc>
      </w:tr>
    </w:tbl>
    <w:p>
      <w:pPr>
        <w:pStyle w:val="Heading3"/>
      </w:pPr>
      <w:r>
        <w:t xml:space="preserve">What’s Wrong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Your deck says: “India’s 1st EV Battery Financing &amp; Lifecycle Management Ecosystem” and “Turning batteries into programmable financial assets through smart telemetry, behavioral risk scoring, and lifecycle intelligence.” Your website says: “Reliable lithium batteries with flexible financing.” These are two completely different companies. An investor who sees the deck then visits the website will be confused.</w:t>
      </w:r>
    </w:p>
    <w:p>
      <w:pPr>
        <w:pStyle w:val="Heading3"/>
      </w:pPr>
      <w:r>
        <w:t xml:space="preserve">Exact Copy to Use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“The Intelligence Layer for India’s EV Battery Economy”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Subhead: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“We turn every battery into a programmable financial asset — with real-time telemetry, behavioral risk scoring, and full lifecycle management. So NBFCs can lend confidently, and drivers can earn more.”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CTA Buttons: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“For Investors” + “For Lending Partners” + “For Dealers”</w:t>
      </w:r>
    </w:p>
    <w:p>
      <w:pPr>
        <w:pStyle w:val="Heading3"/>
      </w:pPr>
      <w:r>
        <w:t xml:space="preserve">Supporting Data Strip (animated counters)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150+ Pilot Batteries Live Monitored (from Slide 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98% Recovery Rate (from Slide 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 NBFC LOIs in Pipeline (from Slide 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20+ Dealers Onboarded (from Slide 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₹11,250 Cr Annual Replacement TAM (from Slide 4)</w:t>
      </w:r>
    </w:p>
    <w:p>
      <w:pPr>
        <w:pStyle w:val="Heading3"/>
      </w:pPr>
      <w:r>
        <w:t xml:space="preserve">Gap to Fill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“5,000+ live assets managed” stat currently on the website doesn’t appear in your deck, which says ~150 pilot units. Either the website is overstating, or the deck is understating. Align these numbers immediately — an investor will cross-check.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#2 •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“For Investors” Landing Page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 (primary)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Slides 1, 2, 4, 7, 8, 11, 12, 15, 16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No investor page exists. The website has no content aimed at investors at all.</w:t>
            </w:r>
          </w:p>
        </w:tc>
      </w:tr>
    </w:tbl>
    <w:p>
      <w:pPr>
        <w:pStyle w:val="Heading3"/>
      </w:pPr>
      <w:r>
        <w:t xml:space="preserve">What This Page Must Contain (Section by Section)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1 — The Opportunity: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Pull directly from Slide 2 + 4. “1.2 million new electric 3-wheelers by FY’27. ~90% financed informally. ₹11,250 Cr annual replacement TAM. Battery Waste Management Rules (2022) mandate lifecycle tracking.”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2 — The Problem: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Pull from Slide 3. Three cards: “Lenders Fly Blind” (no real-time SOH data), “Drivers Locked Out” (no credit history, 30–60% informal rates), “Lifecycle Unmanaged” (no EPR compliance tooling).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3 — The Solution: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Pull from Slide 5. Three pillars: Smart Battery Telemetry, Intelligent Risk Evaluation Engine, Lifecycle Asset Management. Use the exact descriptions from the deck.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4 — Business Model: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Pull from Slide 7. Four revenue streams table: Underwriting Fee (₹1,500–2,500/loan), Telemetry SaaS (₹200–300/battery/month), Collection Fee (~1–2% AUM), Lifecycle Recovery (₹3,000–8,000/asset).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5 — Unit Economics: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Pull from Slide 8. LTV of ₹11,600–15,600 per battery vs CAC+COGS of ~₹2,450. ~65–70% gross margin.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6 — Traction: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Pull from Slide 12. 2 NBFC LOIs, 20+ dealers, ~150 pilot units, 98% recovery rate, MVP tech readiness bars.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7 — Live Data Widget: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Embed the fleet health dashboard showing anonymised SOH, cycle counts, GPS tracking from the Intellicar data. This is the “show don’t tell” moment for the data moat.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8 — Team: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Pull from Slide 14. Founder bios + key hires planned + advisory board composition.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9 — The Ask: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“Raising ₹8 Crore Pre-Seed (Equity).” Include 12-month proof points from Slide 16: 3,000+ BUM, 2 NBFC integrations, ₹15 Cr+ AUM facilitated, &lt;2% NPA.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Section 10 — CTA: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“Request Pitch Deck” gated form (Name, Fund/Company, Email, LinkedIn) + “Schedule a Call” Calendly link.</w:t>
      </w:r>
    </w:p>
    <w:p>
      <w:pPr>
        <w:pStyle w:val="Heading3"/>
      </w:pPr>
      <w:r>
        <w:t xml:space="preserve">Gaps to Fill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Founder names are placeholder “{Founder Name}” in Slide 14 — fill with actual names and photos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Advisory board has placeholder roles (NBFC Veteran, EV Expert, Fintech Investor) — name actual advisors or remove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deck mentions “Chargeup: ₹20 Cr ARR, 7,000+ drivers, EBITDA+” as category validation — include this comparison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Contact email in deck is founders@itarang.in but website uses care@itarang.com — align these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#3 •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“For NBFCs / Lending Partners” Landing Page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NBFCs (primary), Banks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Slides 3, 5, 6, 7, 9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The current “Partner and Impact” page mentions financiers but doesn’t speak their language.</w:t>
            </w:r>
          </w:p>
        </w:tc>
      </w:tr>
    </w:tbl>
    <w:p>
      <w:pPr>
        <w:pStyle w:val="Heading3"/>
      </w:pPr>
      <w:r>
        <w:t xml:space="preserve">What This Page Must Contain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Lead with the pain: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“You’re lending against a blind asset. No SOH visibility, no usage data, no recovery mechanism. That’s why EV battery NPAs are 8–12%.”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Show the platform: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The 5-step operational workflow from Slide 6: Origination at POS → iTarang Telemetry + Risk Score → NBFC Decision &amp; Disbursement → Monitoring (Health &amp; Repayment) → Lifecycle Ops (Recovery &amp; Second Life).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Data Flywheel: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From Slide 6: More batteries → Smarter risk engine → Lower NPAs → More capital → More batteries. Visualise this as an animated loop.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Risk mitigation features: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Remote immobilisation, GPS tracking, behavioural scoring, real-time SOH monitoring, automated collection signals.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Revenue model for NBFC: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From Slide 7: Typical battery loan ₹49,000 @ 17.5% p.a. for 18 months. iTarang improves risk-adjusted returns by 30–40%.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Competitive positioning: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From Slide 9: iTarang is a TSP (Technology Service Provider), not a lender. “We enable NBFCs, we don’t compete with them.”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Integration: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“API-first integration for near-instant loan approvals. Plug into your existing LMS.”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“Schedule Integration Discussion” + “Download NBFC Partnership Overview (PDF)”</w:t>
      </w:r>
    </w:p>
    <w:p>
      <w:pPr>
        <w:pStyle w:val="Heading3"/>
      </w:pPr>
      <w:r>
        <w:t xml:space="preserve">Gaps to Fill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Name the 2 NBFC LOIs if possible (or describe as “2 leading EV-focused NBFCs”)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a 1-page NBFC Partnership PDF with the above points as a downloadable gated asset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 sample risk dashboard screenshot showing what an NBFC partner actually sees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Include Mufin Green Finance as category validation (“rapidly growing battery-only loan book” from Slide 12)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#4 •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Platform / Solution Page with Three Pillars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NBFCs, OEM partners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5 (Solution), Slide 6 (How It Works)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PARTIALLY EXISTS — The current “Solutions” page describes battery finance, IoT analytics, and micro-entrepreneurship but uses consumer language, not the platform/tech language from the deck.</w:t>
            </w:r>
          </w:p>
        </w:tc>
      </w:tr>
    </w:tbl>
    <w:p>
      <w:pPr>
        <w:pStyle w:val="Heading3"/>
      </w:pPr>
      <w:r>
        <w:t xml:space="preserve">Restructure Around the Three Deck Pillars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Pillar 1 — Smart Battery Telemetry: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IoT-enabled real-time SOH &amp; SOC tracking, usage patterns (distance, charging cycles, temperature), GPS asset tracking. KEY BENEFIT: Eliminates “blind asset” risk.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Pillar 2 — Intelligent Risk Evaluation Engine: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Behavioral scoring based on usage (not credit history), API-first for instant loan approvals, alternative data unlocking credit for thin-file drivers. KEY BENEFIT: Unlocks institutional capital.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Pillar 3 — Lifecycle Asset Management: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Remote immobilisation for recovery, automated second-life routing based on health data, built-in EPR reporting for OEM compliance. KEY BENEFIT: Maximizes residual value.</w:t>
      </w:r>
    </w:p>
    <w:p>
      <w:pPr>
        <w:pStyle w:val="Heading3"/>
      </w:pPr>
      <w:r>
        <w:t xml:space="preserve">Visualisation Required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Recreate the Slide 6 operational workflow as an animated web component: Driver &amp; Dealer (Origination) → iTarang Platform (Telemetry + Risk) → NBFC Partner (Decision) → Monitoring → Lifecycle Ops.</w:t>
      </w:r>
    </w:p>
    <w:p>
      <w:pPr>
        <w:pStyle w:val="Heading3"/>
      </w:pPr>
      <w:r>
        <w:t xml:space="preserve">Gaps to Fill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deck mentions “AI as Efficiency Layer” — clarify what AI/ML actually does today vs roadmap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Show a screenshot or demo of the actual risk engine output (even a mockup)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Specify which IoT hardware is being used and BIS certification status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#5 • CRITICAL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Live Fleet Intelligence Dashboard (Embeddable Widget)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 (primary), NBFCs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Slides 5, 6, 12 (Traction + Tech Readiness)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No live data anywhere on the website. This is the single most important trust builder for investors.</w:t>
            </w:r>
          </w:p>
        </w:tc>
      </w:tr>
    </w:tbl>
    <w:p>
      <w:pPr>
        <w:pStyle w:val="Heading3"/>
      </w:pPr>
      <w:r>
        <w:t xml:space="preserve">What to Show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Total batteries under active monitoring (currently ~150 pilot units)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Fleet average SOH (%) — pulled from Intellicar getbatterymetricshistory 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Average daily km per vehicle — from GPS history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Average charge cycles completed — from CAN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Fleet uptime % (vehicles reporting data in last 24 hours)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Heatmap of active cities (anonymised GPS data)</w:t>
      </w:r>
    </w:p>
    <w:p>
      <w:pPr>
        <w:pStyle w:val="Heading3"/>
      </w:pPr>
      <w:r>
        <w:t xml:space="preserve">Data Sources (Already Available)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Your n8n workflows already pull this data. The vehicle_battery_readings table has SOC, SOH, voltage, current, charge cycles, and temperature. The vehicle_gps_events table has lat/lng, speed, and odometer. You have ~269 vehicles in vehicle_device_map.</w:t>
      </w:r>
    </w:p>
    <w:p>
      <w:pPr>
        <w:pStyle w:val="Heading3"/>
      </w:pPr>
      <w:r>
        <w:t xml:space="preserve">Implementation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 React component that queries a Supabase view aggregating fleet-level stats. Refresh every 5 minutes. Anonymise all vehicle-level data. Embed on homepage, investor page, and NBFC page.</w:t>
      </w:r>
    </w:p>
    <w:p>
      <w:pPr>
        <w:pStyle w:val="Heading3"/>
      </w:pPr>
      <w:r>
        <w:t xml:space="preserve">Why This Is #5 Priority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Your deck says the core thesis is: “the battery must evolve from a consumable part into a transparent, data-rich, programmable financial asset.” If an investor visits itarang.com and sees zero live data, the thesis collapses. This widget IS the thesis.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#6 •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Business Model + Unit Economics Page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NBFCs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Slides 7, 8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No unit economics information anywhere on the website.</w:t>
            </w:r>
          </w:p>
        </w:tc>
      </w:tr>
    </w:tbl>
    <w:p>
      <w:pPr>
        <w:pStyle w:val="Heading3"/>
      </w:pPr>
      <w:r>
        <w:t xml:space="preserve">Content to Publish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Revenue Streams Visual: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Four-stream diagram from Slide 7: Underwriting Fee (Day 1, ₹1,500–2,500), Telemetry SaaS (Day 1, ₹200–300/mo), Collection Fee (Phase 2, ~1–2% AUM), Lifecycle Recovery (Year 3, ₹3,000–8,000).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Unit Economics Card: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LTV ₹11,600–15,600 vs CAC+COGS ₹2,450 = ~65–70% gross margin. Show the breakdown visually.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Strategic Sequencing: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“We prioritize Underwriting Fees + SaaS for immediate cash flow. Lifecycle revenue builds a regulatory moat as EPR compliance tightens.”</w:t>
      </w:r>
    </w:p>
    <w:p>
      <w:pPr>
        <w:pStyle w:val="Heading3"/>
      </w:pPr>
      <w:r>
        <w:t xml:space="preserve">Disclosure Decision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may not want full unit economics publicly visible. Options: (a) put it on the gated investor page only, (b) show a simplified version publicly with detailed version behind the deck request gate, (c) show the model structure without exact numbers.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#7 •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Competitive Landscape Positioning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9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No competitive differentiation on the website.</w:t>
            </w:r>
          </w:p>
        </w:tc>
      </w:tr>
    </w:tbl>
    <w:p>
      <w:pPr>
        <w:pStyle w:val="Heading3"/>
      </w:pPr>
      <w:r>
        <w:t xml:space="preserve">Content to Create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Recreate the Slide 9 comparison table as an interactive web component. Show iTarang vs Chargeup vs Revfin vs Battery Smart vs Attero/Lohum across: Asset Focus, IoT &amp; Risk Tech, Lifecycle/EPR, Business Model.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 messaging: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iTarang’s whitespace is “Lifecycle Integration” — only player connecting origination with EPR compliance &amp; second-life routing. Fee-based tech enabler, not a balance-sheet lender.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Chargeup validation: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₹20 Cr ARR, 7,000+ drivers, EBITDA positive — proves the segment pays for tech-enabled financing.</w:t>
      </w:r>
    </w:p>
    <w:p>
      <w:pPr>
        <w:pStyle w:val="Heading3"/>
      </w:pPr>
      <w:r>
        <w:t xml:space="preserve">Placement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Put this on the investor page and a simplified version on the Solution page. Don’t put a full competitive matrix on the public homepage.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#8 •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Regulatory Moat / Compliance Page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OEMs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10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Zero regulatory content on the website.</w:t>
            </w:r>
          </w:p>
        </w:tc>
      </w:tr>
    </w:tbl>
    <w:p>
      <w:pPr>
        <w:pStyle w:val="Heading3"/>
      </w:pPr>
      <w:r>
        <w:t xml:space="preserve">Content from Deck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Battery Waste Management Rules (2022): EPR mandate, 70% recovery FY24 → 90% FY26+ → 20% recycled content by FY30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“Our lifecycle tracking module becomes essential compliance tooling for OEMs”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DPDP Act compliance: consent-first onboarding 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BIS certification for IoT hardware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iTarang as TSP (not lender): avoids RBI NBFC licensing requirements and FLDG cap issues</w:t>
      </w:r>
    </w:p>
    <w:p>
      <w:pPr>
        <w:pStyle w:val="Heading3"/>
      </w:pPr>
      <w:r>
        <w:t xml:space="preserve">Why This Matters for Investors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regulatory timeline visualization (FY24 → FY30) shows that iTarang’s value INCREASES over time as compliance requirements tighten. This is a compounding moat narrative that should be front and centre on the investor page.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#9 •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GTM Strategy + Roadmap Visual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Slides 11, 13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No roadmap or GTM information on the website.</w:t>
            </w:r>
          </w:p>
        </w:tc>
      </w:tr>
    </w:tbl>
    <w:p>
      <w:pPr>
        <w:pStyle w:val="Heading3"/>
      </w:pPr>
      <w:r>
        <w:t xml:space="preserve">Content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Three-phase GTM from Slide 11: Phase 1 (0–12 mo): 3 cities, 20 dealers, 2 NBFCs, ~3,000 BUM. Phase 2 (12–24 mo): 15 cities, 100 dealers, 5 NBFCs, ~25,000 BUM. Phase 3 (24–36 mo): 90 cities, private labels, &gt;1M data points.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Include the three execution layers: Dealer Network (origination pipeline), NBFC Integrations (capital throughput), Data Flywheel (defensible moat).</w:t>
      </w:r>
    </w:p>
    <w:p>
      <w:pPr>
        <w:pStyle w:val="Heading3"/>
      </w:pPr>
      <w:r>
        <w:t xml:space="preserve">Key Metric Emphasis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“Batteries Under Management (BUM) vs vanity metrics.” This framing from the deck is powerful — it shows investor sophistication. Use it on the website.</w:t>
      </w:r>
    </w:p>
    <w:p>
      <w:pPr>
        <w:pStyle w:val="Heading3"/>
      </w:pPr>
      <w:r>
        <w:t xml:space="preserve">Placement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Investor page (full detail) + abbreviated version on About page.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#10 •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About / Team Page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Partners, Everyone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14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No About page exists on the website.</w:t>
            </w:r>
          </w:p>
        </w:tc>
      </w:tr>
    </w:tbl>
    <w:p>
      <w:pPr>
        <w:pStyle w:val="Heading3"/>
      </w:pPr>
      <w:r>
        <w:t xml:space="preserve">Content Required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Founder name(s) and photos (currently placeholder {Founder Name} in deck — must fill)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Founder background: experience, domain expertise, why this problem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Key hires planned: Head of Partnerships, Credit &amp; Risk Head, City Ops Leads (x2)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Advisory board: NBFC Veteran, EV Industry Expert, Fintech Investor (name them if possible)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Company details: DPIIT recognition, CIN, registered office (Gurgaon)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60-second founder video</w:t>
      </w:r>
    </w:p>
    <w:p>
      <w:pPr>
        <w:pStyle w:val="Heading3"/>
      </w:pPr>
      <w:r>
        <w:t xml:space="preserve">Critical Gap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deck has TWO co-founders (CEO + CTO) but the website gives zero indication of who runs the company. For investors, the team slide is often the first thing they look at. A website with no team page sends a very negative signal.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#11 •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Traction &amp; Validation Section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NBFCs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12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PARTIALLY EXISTS — Website shows stats but they don’t match the deck.</w:t>
            </w:r>
          </w:p>
        </w:tc>
      </w:tr>
    </w:tbl>
    <w:p>
      <w:pPr>
        <w:pStyle w:val="Heading3"/>
      </w:pPr>
      <w:r>
        <w:t xml:space="preserve">Deck Numbers to Use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 NBFC LOIs in pipeline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20+ active dealers onboarded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~150 pilot battery units with live monitoring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98% recovery rate (early data)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MVP tech readiness: Telemetry Module ✓, Dealer Portal ✓, Loan Processing ✓, Risk Engine v1 ✓</w:t>
      </w:r>
    </w:p>
    <w:p>
      <w:pPr>
        <w:pStyle w:val="Heading3"/>
      </w:pPr>
      <w:r>
        <w:t xml:space="preserve">Website Number Conflicts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website currently shows: “5,000+ live assets managed”, “6,000 asset goal by Mar’26”, “100+ partners”, “20+ cities”, “150+ trusted partners” (Contact page). The deck says ~150 pilot units and 20+ dealers. These are order-of-magnitude discrepancies that will destroy investor trust. FIX THIS IMMEDIATELY.</w:t>
      </w:r>
    </w:p>
    <w:p>
      <w:pPr>
        <w:pStyle w:val="Heading3"/>
      </w:pPr>
      <w:r>
        <w:t xml:space="preserve">Recommendation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the higher numbers represent total Intellicar-monitored assets (not iTarang’s own), make that distinction crystal clear: “5,000+ vehicles on our monitoring platform • 150+ batteries under iTarang management.” Otherwise, use the deck numbers.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#12 •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Use of Funds + Milestones (Investor Page Section)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15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Content from Deck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Total raise: ₹8 Crore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Allocation: Tech/MVP 40% (₹3.2 Cr), Team 25% (₹2.0 Cr), Working Capital 20% (₹1.6 Cr), GTM 10% (₹0.8 Cr), Regulatory 5% (₹0.4 Cr)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12-month milestones: 3,000 BUM, 2 NBFC integrations, 3 cities live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Outcome: Series Seed Ready with de-risked unit economics</w:t>
      </w:r>
    </w:p>
    <w:p>
      <w:pPr>
        <w:pStyle w:val="Heading3"/>
      </w:pPr>
      <w:r>
        <w:t xml:space="preserve">Placement Decision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sensitive. Option A: Put on gated investor page only. Option B: Show milestones publicly, hide allocation details behind deck request. Recommend Option B — milestones show ambition, allocation details are for serious conversations.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#13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Product Specs / Battery SKU Page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Dealers, Drivers, OEMs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 in deck (gap)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— The deck doesn’t detail product specs because it’s a platform pitch, but dealers and drivers need this.</w:t>
            </w:r>
          </w:p>
        </w:tc>
      </w:tr>
    </w:tbl>
    <w:p>
      <w:pPr>
        <w:pStyle w:val="Heading3"/>
      </w:pPr>
      <w:r>
        <w:t xml:space="preserve">Content Needed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Battery model names and SKUs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Technical specs: Ah capacity, voltage, weight, dimensions, cycle life, BMS features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Compatible vehicle models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Warranty terms and conditions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Pricing tiers and EMI options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Lithium vs lead-acid comparison table with real numbers</w:t>
      </w:r>
    </w:p>
    <w:p>
      <w:pPr>
        <w:pStyle w:val="Heading3"/>
      </w:pPr>
      <w:r>
        <w:t xml:space="preserve">Why This Matters Even for Investors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investor will ask: “What exactly are you selling?” If the website has no product page, the platform narrative feels abstract. Ground it with real products.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#14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Data Flywheel Explainer (Interactive)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NBFCs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6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Content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data flywheel from Slide 6 is one of the most compelling elements of the deck. Animate it: More Batteries Onboarded → Smarter Risk Engine → Lower NPAs &amp; Higher Trust → More Institutional Capital → More Batteries. This should be an eye-catching animated loop on the homepage and investor page.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#15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EMI Calculator Widget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Dealers, Drivers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8 (battery loan context: ₹49,000 @ 17.5% for 18 months)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Parameters from Deck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Default values: Battery price ₹49,000, interest rate 17.5% p.a., tenure 18 months. Show: daily EMI, monthly EMI, total cost of ownership, comparison with lead-acid replacement frequency.</w:t>
      </w:r>
    </w:p>
    <w:p>
      <w:pPr>
        <w:pStyle w:val="Heading3"/>
      </w:pPr>
      <w:r>
        <w:t xml:space="preserve">Why Critical for NBFC Narrative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an NBFC partner visits the site and sees that drivers already have tools to understand EMI affordability, it signals product-market fit for the lending use case.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#16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Dealer Case Study (First One)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Dealers, Investors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12 (20+ dealers onboarded)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Template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Dealer name, city, photo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they joined iTarang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Units sold through iTarang financing vs before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Default/recovery experience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Quote from the dealer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Need to capture this from one of the 20+ existing dealers. The content designer should prioritise this in their first field visit.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#17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Monthly Fleet Intelligence Report (Gated PDF)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NBFCs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Slides 5, 6 (data moat narrative)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Template for First Report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Fleet size and geographic distribution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Average SOH across fleet + degradation curve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Average daily km and charge cycles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Temperature impact on battery performance (seasonal)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Collection/repayment pattern insights (if available)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Recovery rate stats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Gate behind email capture. Tag every download as an investor or NBFC lead. This report IS the data moat made tangible.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#18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Blog: “Why 90% of E-Rickshaw Battery Financing Is Informal — And What It Costs”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NBFCs, SEO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2 (~90% informal financing, 30–60% informal rates)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Outline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with the ~90% stat from the deck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Explain the informal lending landscape: 30–60% interest rates, punitive terms, no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Quantify the cost to drivers (daily income impact)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Introduce the structured alternative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CTA: “Learn how iTarang is building the credit rails for EV”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post serves double duty: SEO for “e-rickshaw battery financing” keywords AND investor education material you can share on LinkedIn.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#19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Blog: “The Battery Passport: What It Means for India’s EV Circular Economy”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OEMs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16 (“iTarang is building the Battery Passport”)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Outline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EU Battery Passport regulation context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India’s Battery Waste Management Rules (2022) and EPR mandates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 a “Battery Passport” actually looks like (lifecycle data from origination to end-of-life)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How iTarang’s telemetry data creates this passport automatically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Second-life opportunities enabled by health data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the long-term vision piece. Share it when engaging with impact investors and OEMs.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#20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Coverage / Impact Map (Interactive)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Investors, Partners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4 (UP, WB, Bihar, NCR focus geography), Slide 11 (3 cities → 15 → 90)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Content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interactive India map showing: current active cities (pin with dealer count), planned expansion cities, heat overlay of e-rickshaw density (from Vahan data if available). Click a city to see local fleet size. This visualises geographic traction and expansion path simultaneously.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#21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WhatsApp + Contact Form Redesign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Dealers, Drivers, NBFCs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N/A (operational necessity)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EXISTS BUT BROKEN — Form has no role field, footer has “WHatSApp” typo, two different phone numbers with no context.</w:t>
            </w:r>
          </w:p>
        </w:tc>
      </w:tr>
    </w:tbl>
    <w:p>
      <w:pPr>
        <w:pStyle w:val="Heading3"/>
      </w:pPr>
      <w:r>
        <w:t xml:space="preserve">Fixes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role dropdown: Driver / Dealer / NBFC / Investor / OEM / Other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city and fleet size fields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 “WHatSApp” to “WhatsApp” and “Contact-US” to “Contact Us”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Consolidate to one phone number or label them clearly (“Sales” vs “Support”)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WhatsApp deeplinks with pre-filled messages based on page context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“Typically respond within 2 hours” expectation setter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#22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Trust Badge / Logo Strip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audiences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12 (traction)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DPIIT Recognised Startup badge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Intellicar (IoT partner) logo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NBFC partner logos (when LOIs convert)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BIS certification mark (when obtained)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Any press/media logos (YourStory, Inc42, event appearances)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Display on every page in the same position, just below the hero section.</w:t>
      </w:r>
    </w:p>
    <w:p>
      <w:pPr>
        <w:pBdr>
          <w:bottom w:val="single" w:color="1B5E20" w:sz="4" w:space="8"/>
        </w:pBdr>
        <w:spacing w:after="200" w:before="200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#23 • MEDIUM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6"/>
                <w:szCs w:val="26"/>
              </w:rPr>
              <w:t xml:space="preserve">Founder Video (60 Seconds)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Target: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Investors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Deck Alignment: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Slide 14 (Team)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616161"/>
                <w:sz w:val="19"/>
                <w:szCs w:val="19"/>
              </w:rPr>
              <w:t xml:space="preserve">Current Status: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3"/>
      </w:pPr>
      <w:r>
        <w:t xml:space="preserve">Script Beats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Beat 1 (10s): “I’m [Name], founder of iTarang. We’re building the intelligence layer for India’s EV battery economy.”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Beat 2 (15s): The problem — “90% of e-rickshaw batteries are financed informally. NBFCs won’t lend because the battery is a blind asset.”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Beat 3 (15s): The solution — “We turn every battery into a data-rich financial asset with real-time telemetry and behavioral risk scoring.”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Beat 4 (10s): Traction — “We have 150 batteries under live monitoring, 2 NBFC partnerships in pipeline, and 20+ dealers.”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Beat 5 (10s): CTA — “We’re raising ₹8 crore to scale to 3,000 batteries in 12 months. Let’s talk.”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Shoot at the warehouse or a dealer location for authenticity. Smartphone is fine.</w:t>
      </w:r>
    </w:p>
    <w:p>
      <w:pPr>
        <w:pBdr>
          <w:bottom w:val="single" w:color="1B5E20" w:sz="4" w:space="8"/>
        </w:pBdr>
        <w:spacing w:after="200" w:before="200"/>
      </w:pPr>
    </w:p>
    <w:p>
      <w:pPr>
        <w:pStyle w:val="Heading1"/>
      </w:pPr>
      <w:r>
        <w:t xml:space="preserve">Summary: The 5 Critical Inconsistencies Between Deck and Website</w:t>
      </w: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These must be resolved before sending any investor to itarang.com: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1. Identity Crisis: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Deck says “battery intelligence platform.” Website says “battery seller with financing.”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2. Numbers Mismatch: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Deck says ~150 pilot units. Website says 5,000+ live assets. This is a due-diligence red flag.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3. No Data, No Moat: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Deck’s entire thesis is data intelligence. Website shows zero data. The live dashboard is non-negotiable.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 No Investor Content: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No team, no business model, no traction metrics, no market sizing, no competitive positioning. An investor who visits itarang.com after seeing the deck will wonder if it’s the same company.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5. Domain Issue: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itarang.com (without www) shows “Parked Domain.” The deck links to www.itarang.in. The website is www.itarang.com. Which is the real URL?</w:t>
      </w:r>
    </w:p>
    <w:p>
      <w:pPr>
        <w:spacing w:before="300"/>
      </w:pPr>
    </w:p>
    <w:p>
      <w:pPr>
        <w:spacing w:after="13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 these five items first. Everything else builds on a foundation of consistency between what you tell investors in the room and what they find when they go home and Google you.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16161"/>
        <w:sz w:val="18"/>
        <w:szCs w:val="18"/>
      </w:rPr>
      <w:t xml:space="preserve">iTarang • Deck-Aligned Website Content Pieces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651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2026-03-25T01:46:44.127Z</dcterms:created>
  <dcterms:modified xsi:type="dcterms:W3CDTF">2026-03-25T01:46:44.128Z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