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1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6:10:51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15000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