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52"/>
          <w:szCs w:val="52"/>
        </w:rPr>
        <w:t xml:space="preserve">Companion &amp; Item Systems — v2.1</w:t>
      </w:r>
    </w:p>
    <w:p>
      <w:pPr>
        <w:spacing w:after="120"/>
      </w:pPr>
      <w:r>
        <w:rPr>
          <w:i/>
          <w:iCs/>
        </w:rPr>
        <w:t xml:space="preserve">Fractured Arcana · roster strategy, recruitment, injury, and the full item lifecycle · SUPERSEDES companion_item_systems_v1</w:t>
      </w:r>
    </w:p>
    <w:p>
      <w:pPr>
        <w:spacing w:after="120"/>
      </w:pPr>
      <w:r>
        <w:rPr>
          <w:b/>
          <w:bCs/>
          <w:i w:val="false"/>
          <w:iCs w:val="false"/>
        </w:rPr>
        <w:t xml:space="preserve">v2.1 — ballot rulings incorporated 2026-07-03: </w:t>
      </w:r>
      <w:r>
        <w:rPr>
          <w:b w:val="false"/>
          <w:bCs w:val="false"/>
          <w:i w:val="false"/>
          <w:iCs w:val="false"/>
        </w:rPr>
        <w:t xml:space="preserve">the §4 progression package ADOPTED (R1); authored companions die by the same rules (R5); trigger-bus migration adopted and now stack-integrated (R9 + R3); campus-menu recruiting replaced (R10); Cleanse at Tier 3 (R23); infirmary on Training Grounds interim pending the campus rework (R24 + R6); hiring-in-territory deed included (R25); Group D values locked.</w:t>
      </w:r>
    </w:p>
    <w:p>
      <w:pPr>
        <w:spacing w:after="120"/>
      </w:pPr>
      <w:r>
        <w:rPr>
          <w:b/>
          <w:bCs/>
          <w:i w:val="false"/>
          <w:iCs w:val="false"/>
        </w:rPr>
        <w:t xml:space="preserve">Relationship to v1: </w:t>
      </w:r>
      <w:r>
        <w:rPr>
          <w:b w:val="false"/>
          <w:bCs w:val="false"/>
          <w:i w:val="false"/>
          <w:iCs w:val="false"/>
        </w:rPr>
        <w:t xml:space="preserve">v1's locked decisions are carried forward verbatim and are NOT reopened here (§2). v2 exists because the game grew around them: the single-world refactor, Court &amp; Council, the overworld spell system, the unit registry, and combat environments all created companion and item surfaces v1 predates — and because the deferred progression-economy decision (companion pool HP + equipment resistance) is made of these two systems and is resolved here as a package (§4).</w:t>
      </w:r>
    </w:p>
    <w:p>
      <w:pPr>
        <w:pStyle w:val="Heading1"/>
        <w:spacing w:after="160" w:before="360"/>
      </w:pPr>
      <w:r>
        <w:t xml:space="preserve">1. The Design Pillar — "I Hire Good People"</w:t>
      </w:r>
    </w:p>
    <w:p>
      <w:pPr>
        <w:spacing w:after="120"/>
      </w:pPr>
      <w:r>
        <w:t xml:space="preserve">The guild's power ceiling is roster quality multiplied by allocation skill. Not the wizard's deck, not the campus, not gear in a vault — the people, and where you choose to spend them. This only works as a fantasy if it works as an economy, and the economy has one law:</w:t>
      </w:r>
    </w:p>
    <w:p>
      <w:pPr>
        <w:spacing w:after="120"/>
      </w:pPr>
      <w:r>
        <w:rPr>
          <w:b/>
          <w:bCs/>
          <w:i w:val="false"/>
          <w:iCs w:val="false"/>
        </w:rPr>
        <w:t xml:space="preserve">Demands must exceed people, always. </w:t>
      </w:r>
      <w:r>
        <w:rPr>
          <w:b w:val="false"/>
          <w:bCs w:val="false"/>
          <w:i w:val="false"/>
          <w:iCs w:val="false"/>
        </w:rPr>
        <w:t xml:space="preserve">A roster system where every companion can be everywhere is a checklist. The game already generates three competing demands per lunation: the expedition party (HP pool + contributed cards + negotiation tokens + granted overworld innates + arc POIs that only spawn with them present), court dispatch (lunations of total absence, per Court &amp; Council §2), and — new in v2 — recovery (injured companions consuming infirmary time). Target ratio: total demand slots ≈ 1.5–2× fieldable companions from mid-game on. When the player can staff everything, add demands or slow recruitment; when they can staff nothing, the ratio is broken the other way. This ratio is a first-class tuning target, not an emergent accident. High confidence on the law; the 1.5–2× number is a starting value.</w:t>
      </w:r>
    </w:p>
    <w:p>
      <w:pPr>
        <w:spacing w:after="120"/>
      </w:pPr>
      <w:r>
        <w:t xml:space="preserve">Corollary: 'good people' must be findable, not manufacturable. Training Grounds remains the global floor and loyalty the personal ceiling (v1, locked) — which means the difference between a mediocre hire and a great one is permanent. Hiring well has to matter, so candidates must genuinely vary (§5c) and the great ones must be rare.</w:t>
      </w:r>
    </w:p>
    <w:p>
      <w:pPr>
        <w:pStyle w:val="Heading1"/>
        <w:spacing w:after="160" w:before="360"/>
      </w:pPr>
      <w:r>
        <w:t xml:space="preserve">2. Locked v1 Decisions — Carried Forward, Not Reopened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12"/>
        <w:gridCol w:w="6448"/>
      </w:tblGrid>
      <w:tr>
        <w:tc>
          <w:tcPr>
            <w:tcW w:type="dxa" w:w="2912"/>
            <w:shd w:fill="E8E4DA" w:val="clear"/>
            <w:tcMar>
              <w:top w:type="dxa" w:w="60"/>
              <w:left w:type="dxa" w:w="100"/>
              <w:bottom w:type="dxa" w:w="60"/>
              <w:right w:type="dxa" w:w="100"/>
            </w:tcMar>
          </w:tcPr>
          <w:p>
            <w:pPr>
              <w:spacing w:after="40"/>
            </w:pPr>
            <w:r>
              <w:rPr>
                <w:b/>
                <w:bCs/>
                <w:sz w:val="20"/>
                <w:szCs w:val="20"/>
              </w:rPr>
              <w:t xml:space="preserve">Locked decision</w:t>
            </w:r>
          </w:p>
        </w:tc>
        <w:tc>
          <w:tcPr>
            <w:tcW w:type="dxa" w:w="6448"/>
            <w:shd w:fill="E8E4DA" w:val="clear"/>
            <w:tcMar>
              <w:top w:type="dxa" w:w="60"/>
              <w:left w:type="dxa" w:w="100"/>
              <w:bottom w:type="dxa" w:w="60"/>
              <w:right w:type="dxa" w:w="100"/>
            </w:tcMar>
          </w:tcPr>
          <w:p>
            <w:pPr>
              <w:spacing w:after="40"/>
            </w:pPr>
            <w:r>
              <w:rPr>
                <w:b/>
                <w:bCs/>
                <w:sz w:val="20"/>
                <w:szCs w:val="20"/>
              </w:rPr>
              <w:t xml:space="preserve">Status in v2</w:t>
            </w:r>
          </w:p>
        </w:tc>
      </w:tr>
      <w:tr>
        <w:tc>
          <w:tcPr>
            <w:tcW w:type="dxa" w:w="2912"/>
            <w:tcMar>
              <w:top w:type="dxa" w:w="60"/>
              <w:left w:type="dxa" w:w="100"/>
              <w:bottom w:type="dxa" w:w="60"/>
              <w:right w:type="dxa" w:w="100"/>
            </w:tcMar>
          </w:tcPr>
          <w:p>
            <w:pPr>
              <w:spacing w:after="40"/>
            </w:pPr>
            <w:r>
              <w:rPr>
                <w:b w:val="false"/>
                <w:bCs w:val="false"/>
                <w:sz w:val="20"/>
                <w:szCs w:val="20"/>
              </w:rPr>
              <w:t xml:space="preserve">Loyalty tiers (Wary 0–24 / Hired 25–49 / Trusted 50–74 / Devoted / Sworn) with recruits entering at 50; loyalty delta table; personality perks at Trusted</w:t>
            </w:r>
          </w:p>
        </w:tc>
        <w:tc>
          <w:tcPr>
            <w:tcW w:type="dxa" w:w="6448"/>
            <w:tcMar>
              <w:top w:type="dxa" w:w="60"/>
              <w:left w:type="dxa" w:w="100"/>
              <w:bottom w:type="dxa" w:w="60"/>
              <w:right w:type="dxa" w:w="100"/>
            </w:tcMar>
          </w:tcPr>
          <w:p>
            <w:pPr>
              <w:spacing w:after="40"/>
            </w:pPr>
            <w:r>
              <w:rPr>
                <w:b w:val="false"/>
                <w:bCs w:val="false"/>
                <w:sz w:val="20"/>
                <w:szCs w:val="20"/>
              </w:rPr>
              <w:t xml:space="preserve">Carried. v2 adds loyalty's pool-HP contribution (§4a) and envoy-fitness term (§6) on top; no tier or delta changes.</w:t>
            </w:r>
          </w:p>
        </w:tc>
      </w:tr>
      <w:tr>
        <w:tc>
          <w:tcPr>
            <w:tcW w:type="dxa" w:w="2912"/>
            <w:tcMar>
              <w:top w:type="dxa" w:w="60"/>
              <w:left w:type="dxa" w:w="100"/>
              <w:bottom w:type="dxa" w:w="60"/>
              <w:right w:type="dxa" w:w="100"/>
            </w:tcMar>
          </w:tcPr>
          <w:p>
            <w:pPr>
              <w:spacing w:after="40"/>
            </w:pPr>
            <w:r>
              <w:rPr>
                <w:b w:val="false"/>
                <w:bCs w:val="false"/>
                <w:sz w:val="20"/>
                <w:szCs w:val="20"/>
              </w:rPr>
              <w:t xml:space="preserve">Arc signatures at ArcStage 4 — martial signatures as IsSignature stances, arcane deferred pending card schema, disabled at Wary, destroyed on permadeath</w:t>
            </w:r>
          </w:p>
        </w:tc>
        <w:tc>
          <w:tcPr>
            <w:tcW w:type="dxa" w:w="6448"/>
            <w:tcMar>
              <w:top w:type="dxa" w:w="60"/>
              <w:left w:type="dxa" w:w="100"/>
              <w:bottom w:type="dxa" w:w="60"/>
              <w:right w:type="dxa" w:w="100"/>
            </w:tcMar>
          </w:tcPr>
          <w:p>
            <w:pPr>
              <w:spacing w:after="40"/>
            </w:pPr>
            <w:r>
              <w:rPr>
                <w:b w:val="false"/>
                <w:bCs w:val="false"/>
                <w:sz w:val="20"/>
                <w:szCs w:val="20"/>
              </w:rPr>
              <w:t xml:space="preserve">Carried, including the arcane deferral.</w:t>
            </w:r>
          </w:p>
        </w:tc>
      </w:tr>
      <w:tr>
        <w:tc>
          <w:tcPr>
            <w:tcW w:type="dxa" w:w="2912"/>
            <w:tcMar>
              <w:top w:type="dxa" w:w="60"/>
              <w:left w:type="dxa" w:w="100"/>
              <w:bottom w:type="dxa" w:w="60"/>
              <w:right w:type="dxa" w:w="100"/>
            </w:tcMar>
          </w:tcPr>
          <w:p>
            <w:pPr>
              <w:spacing w:after="40"/>
            </w:pPr>
            <w:r>
              <w:rPr>
                <w:b w:val="false"/>
                <w:bCs w:val="false"/>
                <w:sz w:val="20"/>
                <w:szCs w:val="20"/>
              </w:rPr>
              <w:t xml:space="preserve">Permadeath with roster-wide morale ripple; no grind-loss</w:t>
            </w:r>
          </w:p>
        </w:tc>
        <w:tc>
          <w:tcPr>
            <w:tcW w:type="dxa" w:w="6448"/>
            <w:tcMar>
              <w:top w:type="dxa" w:w="60"/>
              <w:left w:type="dxa" w:w="100"/>
              <w:bottom w:type="dxa" w:w="60"/>
              <w:right w:type="dxa" w:w="100"/>
            </w:tcMar>
          </w:tcPr>
          <w:p>
            <w:pPr>
              <w:spacing w:after="40"/>
            </w:pPr>
            <w:r>
              <w:rPr>
                <w:b w:val="false"/>
                <w:bCs w:val="false"/>
                <w:sz w:val="20"/>
                <w:szCs w:val="20"/>
              </w:rPr>
              <w:t xml:space="preserve">Carried. v2 adds the injury middle state and defines WHEN death triggers (§5b) — v1 defined its cost but never its cause.</w:t>
            </w:r>
          </w:p>
        </w:tc>
      </w:tr>
      <w:tr>
        <w:tc>
          <w:tcPr>
            <w:tcW w:type="dxa" w:w="2912"/>
            <w:tcMar>
              <w:top w:type="dxa" w:w="60"/>
              <w:left w:type="dxa" w:w="100"/>
              <w:bottom w:type="dxa" w:w="60"/>
              <w:right w:type="dxa" w:w="100"/>
            </w:tcMar>
          </w:tcPr>
          <w:p>
            <w:pPr>
              <w:spacing w:after="40"/>
            </w:pPr>
            <w:r>
              <w:rPr>
                <w:b w:val="false"/>
                <w:bCs w:val="false"/>
                <w:sz w:val="20"/>
                <w:szCs w:val="20"/>
              </w:rPr>
              <w:t xml:space="preserve">Items are passive; actives are scrolls; two-effect ceiling; slot identity (Weapon/Armor/Trinket); Legendary unique-owned; handcrafted uniques only, no procedural affixes; Enchanter's Workshop as sole mutation, one enchant slot</w:t>
            </w:r>
          </w:p>
        </w:tc>
        <w:tc>
          <w:tcPr>
            <w:tcW w:type="dxa" w:w="6448"/>
            <w:tcMar>
              <w:top w:type="dxa" w:w="60"/>
              <w:left w:type="dxa" w:w="100"/>
              <w:bottom w:type="dxa" w:w="60"/>
              <w:right w:type="dxa" w:w="100"/>
            </w:tcMar>
          </w:tcPr>
          <w:p>
            <w:pPr>
              <w:spacing w:after="40"/>
            </w:pPr>
            <w:r>
              <w:rPr>
                <w:b w:val="false"/>
                <w:bCs w:val="false"/>
                <w:sz w:val="20"/>
                <w:szCs w:val="20"/>
              </w:rPr>
              <w:t xml:space="preserve">All carried. The blighted-item drawback mechanic (§8d) is designed to fit INSIDE these rules, not around them.</w:t>
            </w:r>
          </w:p>
        </w:tc>
      </w:tr>
      <w:tr>
        <w:tc>
          <w:tcPr>
            <w:tcW w:type="dxa" w:w="2912"/>
            <w:tcMar>
              <w:top w:type="dxa" w:w="60"/>
              <w:left w:type="dxa" w:w="100"/>
              <w:bottom w:type="dxa" w:w="60"/>
              <w:right w:type="dxa" w:w="100"/>
            </w:tcMar>
          </w:tcPr>
          <w:p>
            <w:pPr>
              <w:spacing w:after="40"/>
            </w:pPr>
            <w:r>
              <w:rPr>
                <w:b w:val="false"/>
                <w:bCs w:val="false"/>
                <w:sz w:val="20"/>
                <w:szCs w:val="20"/>
              </w:rPr>
              <w:t xml:space="preserve">Rarity budget (Common flat / Uncommon numeric passive / Rare decision-changer / Legendary build-around) and tier drop tables</w:t>
            </w:r>
          </w:p>
        </w:tc>
        <w:tc>
          <w:tcPr>
            <w:tcW w:type="dxa" w:w="6448"/>
            <w:tcMar>
              <w:top w:type="dxa" w:w="60"/>
              <w:left w:type="dxa" w:w="100"/>
              <w:bottom w:type="dxa" w:w="60"/>
              <w:right w:type="dxa" w:w="100"/>
            </w:tcMar>
          </w:tcPr>
          <w:p>
            <w:pPr>
              <w:spacing w:after="40"/>
            </w:pPr>
            <w:r>
              <w:rPr>
                <w:b w:val="false"/>
                <w:bCs w:val="false"/>
                <w:sz w:val="20"/>
                <w:szCs w:val="20"/>
              </w:rPr>
              <w:t xml:space="preserve">Carried; desert/tundra terrain pools added per combat_environments.</w:t>
            </w:r>
          </w:p>
        </w:tc>
      </w:tr>
      <w:tr>
        <w:tc>
          <w:tcPr>
            <w:tcW w:type="dxa" w:w="2912"/>
            <w:tcMar>
              <w:top w:type="dxa" w:w="60"/>
              <w:left w:type="dxa" w:w="100"/>
              <w:bottom w:type="dxa" w:w="60"/>
              <w:right w:type="dxa" w:w="100"/>
            </w:tcMar>
          </w:tcPr>
          <w:p>
            <w:pPr>
              <w:spacing w:after="40"/>
            </w:pPr>
            <w:r>
              <w:rPr>
                <w:b w:val="false"/>
                <w:bCs w:val="false"/>
                <w:sz w:val="20"/>
                <w:szCs w:val="20"/>
              </w:rPr>
              <w:t xml:space="preserve">Signature item binding at Sworn (optional module)</w:t>
            </w:r>
          </w:p>
        </w:tc>
        <w:tc>
          <w:tcPr>
            <w:tcW w:type="dxa" w:w="6448"/>
            <w:tcMar>
              <w:top w:type="dxa" w:w="60"/>
              <w:left w:type="dxa" w:w="100"/>
              <w:bottom w:type="dxa" w:w="60"/>
              <w:right w:type="dxa" w:w="100"/>
            </w:tcMar>
          </w:tcPr>
          <w:p>
            <w:pPr>
              <w:spacing w:after="40"/>
            </w:pPr>
            <w:r>
              <w:rPr>
                <w:b w:val="false"/>
                <w:bCs w:val="false"/>
                <w:sz w:val="20"/>
                <w:szCs w:val="20"/>
              </w:rPr>
              <w:t xml:space="preserve">Carried as optional; unchanged.</w:t>
            </w:r>
          </w:p>
        </w:tc>
      </w:tr>
    </w:tbl>
    <w:p>
      <w:pPr>
        <w:spacing w:after="120"/>
      </w:pPr>
      <w:r>
        <w:rPr>
          <w:b/>
          <w:bCs/>
          <w:i w:val="false"/>
          <w:iCs w:val="false"/>
        </w:rPr>
        <w:t xml:space="preserve">One v1 element is superseded, not carried: </w:t>
      </w:r>
      <w:r>
        <w:rPr>
          <w:b w:val="false"/>
          <w:bCs w:val="false"/>
          <w:i w:val="false"/>
          <w:iCs w:val="false"/>
        </w:rPr>
        <w:t xml:space="preserve">campus-menu recruitment (RecruitmentCost + UnlockCondition off a roster list). It predates the single world and contradicts both it and the hiring fantasy — you do not hire good people from a menu at home; you find them out there. §5a replaces it. The Companion fields survive; the storefront dies.</w:t>
      </w:r>
    </w:p>
    <w:p>
      <w:pPr>
        <w:pStyle w:val="Heading1"/>
        <w:spacing w:after="160" w:before="360"/>
      </w:pPr>
      <w:r>
        <w:t xml:space="preserve">3. New Surfaces Since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6864"/>
      </w:tblGrid>
      <w:tr>
        <w:tc>
          <w:tcPr>
            <w:tcW w:type="dxa" w:w="2496"/>
            <w:shd w:fill="E8E4DA" w:val="clear"/>
            <w:tcMar>
              <w:top w:type="dxa" w:w="60"/>
              <w:left w:type="dxa" w:w="100"/>
              <w:bottom w:type="dxa" w:w="60"/>
              <w:right w:type="dxa" w:w="100"/>
            </w:tcMar>
          </w:tcPr>
          <w:p>
            <w:pPr>
              <w:spacing w:after="40"/>
            </w:pPr>
            <w:r>
              <w:rPr>
                <w:b/>
                <w:bCs/>
                <w:sz w:val="20"/>
                <w:szCs w:val="20"/>
              </w:rPr>
              <w:t xml:space="preserve">System authored since v1</w:t>
            </w:r>
          </w:p>
        </w:tc>
        <w:tc>
          <w:tcPr>
            <w:tcW w:type="dxa" w:w="6864"/>
            <w:shd w:fill="E8E4DA" w:val="clear"/>
            <w:tcMar>
              <w:top w:type="dxa" w:w="60"/>
              <w:left w:type="dxa" w:w="100"/>
              <w:bottom w:type="dxa" w:w="60"/>
              <w:right w:type="dxa" w:w="100"/>
            </w:tcMar>
          </w:tcPr>
          <w:p>
            <w:pPr>
              <w:spacing w:after="40"/>
            </w:pPr>
            <w:r>
              <w:rPr>
                <w:b/>
                <w:bCs/>
                <w:sz w:val="20"/>
                <w:szCs w:val="20"/>
              </w:rPr>
              <w:t xml:space="preserve">Companion/item surface it created</w:t>
            </w:r>
          </w:p>
        </w:tc>
      </w:tr>
      <w:tr>
        <w:tc>
          <w:tcPr>
            <w:tcW w:type="dxa" w:w="2496"/>
            <w:tcMar>
              <w:top w:type="dxa" w:w="60"/>
              <w:left w:type="dxa" w:w="100"/>
              <w:bottom w:type="dxa" w:w="60"/>
              <w:right w:type="dxa" w:w="100"/>
            </w:tcMar>
          </w:tcPr>
          <w:p>
            <w:pPr>
              <w:spacing w:after="40"/>
            </w:pPr>
            <w:r>
              <w:rPr>
                <w:b w:val="false"/>
                <w:bCs w:val="false"/>
                <w:sz w:val="20"/>
                <w:szCs w:val="20"/>
              </w:rPr>
              <w:t xml:space="preserve">Single-world refactor</w:t>
            </w:r>
          </w:p>
        </w:tc>
        <w:tc>
          <w:tcPr>
            <w:tcW w:type="dxa" w:w="6864"/>
            <w:tcMar>
              <w:top w:type="dxa" w:w="60"/>
              <w:left w:type="dxa" w:w="100"/>
              <w:bottom w:type="dxa" w:w="60"/>
              <w:right w:type="dxa" w:w="100"/>
            </w:tcMar>
          </w:tcPr>
          <w:p>
            <w:pPr>
              <w:spacing w:after="40"/>
            </w:pPr>
            <w:r>
              <w:rPr>
                <w:b w:val="false"/>
                <w:bCs w:val="false"/>
                <w:sz w:val="20"/>
                <w:szCs w:val="20"/>
              </w:rPr>
              <w:t xml:space="preserve">Recruitment can live in real settlements; arc POIs live on the world map; expeditions launch from a Muster flow (§9).</w:t>
            </w:r>
          </w:p>
        </w:tc>
      </w:tr>
      <w:tr>
        <w:tc>
          <w:tcPr>
            <w:tcW w:type="dxa" w:w="2496"/>
            <w:tcMar>
              <w:top w:type="dxa" w:w="60"/>
              <w:left w:type="dxa" w:w="100"/>
              <w:bottom w:type="dxa" w:w="60"/>
              <w:right w:type="dxa" w:w="100"/>
            </w:tcMar>
          </w:tcPr>
          <w:p>
            <w:pPr>
              <w:spacing w:after="40"/>
            </w:pPr>
            <w:r>
              <w:rPr>
                <w:b w:val="false"/>
                <w:bCs w:val="false"/>
                <w:sz w:val="20"/>
                <w:szCs w:val="20"/>
              </w:rPr>
              <w:t xml:space="preserve">Court &amp; Council</w:t>
            </w:r>
          </w:p>
        </w:tc>
        <w:tc>
          <w:tcPr>
            <w:tcW w:type="dxa" w:w="6864"/>
            <w:tcMar>
              <w:top w:type="dxa" w:w="60"/>
              <w:left w:type="dxa" w:w="100"/>
              <w:bottom w:type="dxa" w:w="60"/>
              <w:right w:type="dxa" w:w="100"/>
            </w:tcMar>
          </w:tcPr>
          <w:p>
            <w:pPr>
              <w:spacing w:after="40"/>
            </w:pPr>
            <w:r>
              <w:rPr>
                <w:b w:val="false"/>
                <w:bCs w:val="false"/>
                <w:sz w:val="20"/>
                <w:szCs w:val="20"/>
              </w:rPr>
              <w:t xml:space="preserve">Companions are envoys; dispatch is the second demand; the envoy fitness roll needs a companion-side attribute vector it currently lacks (the open horizon item). §6.</w:t>
            </w:r>
          </w:p>
        </w:tc>
      </w:tr>
      <w:tr>
        <w:tc>
          <w:tcPr>
            <w:tcW w:type="dxa" w:w="2496"/>
            <w:tcMar>
              <w:top w:type="dxa" w:w="60"/>
              <w:left w:type="dxa" w:w="100"/>
              <w:bottom w:type="dxa" w:w="60"/>
              <w:right w:type="dxa" w:w="100"/>
            </w:tcMar>
          </w:tcPr>
          <w:p>
            <w:pPr>
              <w:spacing w:after="40"/>
            </w:pPr>
            <w:r>
              <w:rPr>
                <w:b w:val="false"/>
                <w:bCs w:val="false"/>
                <w:sz w:val="20"/>
                <w:szCs w:val="20"/>
              </w:rPr>
              <w:t xml:space="preserve">Overworld spell system</w:t>
            </w:r>
          </w:p>
        </w:tc>
        <w:tc>
          <w:tcPr>
            <w:tcW w:type="dxa" w:w="6864"/>
            <w:tcMar>
              <w:top w:type="dxa" w:w="60"/>
              <w:left w:type="dxa" w:w="100"/>
              <w:bottom w:type="dxa" w:w="60"/>
              <w:right w:type="dxa" w:w="100"/>
            </w:tcMar>
          </w:tcPr>
          <w:p>
            <w:pPr>
              <w:spacing w:after="40"/>
            </w:pPr>
            <w:r>
              <w:rPr>
                <w:b w:val="false"/>
                <w:bCs w:val="false"/>
                <w:sz w:val="20"/>
                <w:szCs w:val="20"/>
              </w:rPr>
              <w:t xml:space="preserve">Active-party companions grant their school's innate spells at +1 Essence — roster composition is now an overworld toolkit decision. Items gain an Essence surface (§8b).</w:t>
            </w:r>
          </w:p>
        </w:tc>
      </w:tr>
      <w:tr>
        <w:tc>
          <w:tcPr>
            <w:tcW w:type="dxa" w:w="2496"/>
            <w:tcMar>
              <w:top w:type="dxa" w:w="60"/>
              <w:left w:type="dxa" w:w="100"/>
              <w:bottom w:type="dxa" w:w="60"/>
              <w:right w:type="dxa" w:w="100"/>
            </w:tcMar>
          </w:tcPr>
          <w:p>
            <w:pPr>
              <w:spacing w:after="40"/>
            </w:pPr>
            <w:r>
              <w:rPr>
                <w:b w:val="false"/>
                <w:bCs w:val="false"/>
                <w:sz w:val="20"/>
                <w:szCs w:val="20"/>
              </w:rPr>
              <w:t xml:space="preserve">Unit registry &amp; ability framework (archmage_unique_units)</w:t>
            </w:r>
          </w:p>
        </w:tc>
        <w:tc>
          <w:tcPr>
            <w:tcW w:type="dxa" w:w="6864"/>
            <w:tcMar>
              <w:top w:type="dxa" w:w="60"/>
              <w:left w:type="dxa" w:w="100"/>
              <w:bottom w:type="dxa" w:w="60"/>
              <w:right w:type="dxa" w:w="100"/>
            </w:tcMar>
          </w:tcPr>
          <w:p>
            <w:pPr>
              <w:spacing w:after="40"/>
            </w:pPr>
            <w:r>
              <w:rPr>
                <w:b w:val="false"/>
                <w:bCs w:val="false"/>
                <w:sz w:val="20"/>
                <w:szCs w:val="20"/>
              </w:rPr>
              <w:t xml:space="preserve">The item PassiveTag enum dispatch should not survive as a second bespoke effect system — item passives migrate onto the U3 trigger bus (§8a). This is the fix for 'items are mostly broken.'</w:t>
            </w:r>
          </w:p>
        </w:tc>
      </w:tr>
      <w:tr>
        <w:tc>
          <w:tcPr>
            <w:tcW w:type="dxa" w:w="2496"/>
            <w:tcMar>
              <w:top w:type="dxa" w:w="60"/>
              <w:left w:type="dxa" w:w="100"/>
              <w:bottom w:type="dxa" w:w="60"/>
              <w:right w:type="dxa" w:w="100"/>
            </w:tcMar>
          </w:tcPr>
          <w:p>
            <w:pPr>
              <w:spacing w:after="40"/>
            </w:pPr>
            <w:r>
              <w:rPr>
                <w:b w:val="false"/>
                <w:bCs w:val="false"/>
                <w:sz w:val="20"/>
                <w:szCs w:val="20"/>
              </w:rPr>
              <w:t xml:space="preserve">Combat environments</w:t>
            </w:r>
          </w:p>
        </w:tc>
        <w:tc>
          <w:tcPr>
            <w:tcW w:type="dxa" w:w="6864"/>
            <w:tcMar>
              <w:top w:type="dxa" w:w="60"/>
              <w:left w:type="dxa" w:w="100"/>
              <w:bottom w:type="dxa" w:w="60"/>
              <w:right w:type="dxa" w:w="100"/>
            </w:tcMar>
          </w:tcPr>
          <w:p>
            <w:pPr>
              <w:spacing w:after="40"/>
            </w:pPr>
            <w:r>
              <w:rPr>
                <w:b w:val="false"/>
                <w:bCs w:val="false"/>
                <w:sz w:val="20"/>
                <w:szCs w:val="20"/>
              </w:rPr>
              <w:t xml:space="preserve">Settlement markets as item sources; new-climate terrain pools; corruption zones as the blighted-item source (§8d).</w:t>
            </w:r>
          </w:p>
        </w:tc>
      </w:tr>
      <w:tr>
        <w:tc>
          <w:tcPr>
            <w:tcW w:type="dxa" w:w="2496"/>
            <w:tcMar>
              <w:top w:type="dxa" w:w="60"/>
              <w:left w:type="dxa" w:w="100"/>
              <w:bottom w:type="dxa" w:w="60"/>
              <w:right w:type="dxa" w:w="100"/>
            </w:tcMar>
          </w:tcPr>
          <w:p>
            <w:pPr>
              <w:spacing w:after="40"/>
            </w:pPr>
            <w:r>
              <w:rPr>
                <w:b w:val="false"/>
                <w:bCs w:val="false"/>
                <w:sz w:val="20"/>
                <w:szCs w:val="20"/>
              </w:rPr>
              <w:t xml:space="preserve">The corruption-attrition problem (open)</w:t>
            </w:r>
          </w:p>
        </w:tc>
        <w:tc>
          <w:tcPr>
            <w:tcW w:type="dxa" w:w="6864"/>
            <w:tcMar>
              <w:top w:type="dxa" w:w="60"/>
              <w:left w:type="dxa" w:w="100"/>
              <w:bottom w:type="dxa" w:w="60"/>
              <w:right w:type="dxa" w:w="100"/>
            </w:tcMar>
          </w:tcPr>
          <w:p>
            <w:pPr>
              <w:spacing w:after="40"/>
            </w:pPr>
            <w:r>
              <w:rPr>
                <w:b w:val="false"/>
                <w:bCs w:val="false"/>
                <w:sz w:val="20"/>
                <w:szCs w:val="20"/>
              </w:rPr>
              <w:t xml:space="preserve">Items are the designated passive-resistance lever; companions the capacity lever. Resolved as a package in §4.</w:t>
            </w:r>
          </w:p>
        </w:tc>
      </w:tr>
    </w:tbl>
    <w:p>
      <w:pPr>
        <w:pStyle w:val="Heading1"/>
        <w:spacing w:after="160" w:before="360"/>
      </w:pPr>
      <w:r>
        <w:t xml:space="preserve">4. The Progression Package (Resolves the Deferred Economy Decision)</w:t>
      </w:r>
    </w:p>
    <w:p>
      <w:pPr>
        <w:spacing w:after="120"/>
      </w:pPr>
      <w:r>
        <w:t xml:space="preserve">Three levers, one architecture. This is the ruling this document forces: it was deferred as abstract; it cannot stay deferred through a spec built from its parts. All numbers independently generated as starting values.</w:t>
      </w:r>
    </w:p>
    <w:p>
      <w:pPr>
        <w:pStyle w:val="Heading2"/>
        <w:spacing w:after="120" w:before="280"/>
      </w:pPr>
      <w:r>
        <w:t xml:space="preserve">4a. Capacity lever — companion pool HP</w:t>
      </w:r>
    </w:p>
    <w:p>
      <w:pPr>
        <w:spacing w:after="120"/>
      </w:pPr>
      <w:r>
        <w:t xml:space="preserve">ComputePartyBaseHP stops being a stub: PartyPool = 20 (wizard base) + Σ per-companion contribution, where contribution = floor(BaseHP / 2) + loyalty bonus (Devoted +2, Sworn +4 — the personal ceiling made literal: trusted people carry you further into the dark). With MaxPartySize 3 and BaseHP in the 16–30 template range, early pools land ~45–60 and a developed Sworn party of 4 (party-size growth via campus, unchanged) reaches ~90–100. Tier-3 attrition is tuned against the developed pool, not the starting one — that is the whole point of the lever.</w:t>
      </w:r>
    </w:p>
    <w:p>
      <w:pPr>
        <w:pStyle w:val="Heading2"/>
        <w:spacing w:after="120" w:before="280"/>
      </w:pPr>
      <w:r>
        <w:t xml:space="preserve">4b. Traversal lever — worn resistance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4"/>
        <w:gridCol w:w="6656"/>
      </w:tblGrid>
      <w:tr>
        <w:tc>
          <w:tcPr>
            <w:tcW w:type="dxa" w:w="2704"/>
            <w:shd w:fill="E8E4DA" w:val="clear"/>
            <w:tcMar>
              <w:top w:type="dxa" w:w="60"/>
              <w:left w:type="dxa" w:w="100"/>
              <w:bottom w:type="dxa" w:w="60"/>
              <w:right w:type="dxa" w:w="100"/>
            </w:tcMar>
          </w:tcPr>
          <w:p>
            <w:pPr>
              <w:spacing w:after="40"/>
            </w:pPr>
            <w:r>
              <w:rPr>
                <w:b/>
                <w:bCs/>
                <w:sz w:val="20"/>
                <w:szCs w:val="20"/>
              </w:rPr>
              <w:t xml:space="preserve">Element</w:t>
            </w:r>
          </w:p>
        </w:tc>
        <w:tc>
          <w:tcPr>
            <w:tcW w:type="dxa" w:w="6656"/>
            <w:shd w:fill="E8E4DA" w:val="clear"/>
            <w:tcMar>
              <w:top w:type="dxa" w:w="60"/>
              <w:left w:type="dxa" w:w="100"/>
              <w:bottom w:type="dxa" w:w="60"/>
              <w:right w:type="dxa" w:w="100"/>
            </w:tcMar>
          </w:tcPr>
          <w:p>
            <w:pPr>
              <w:spacing w:after="40"/>
            </w:pPr>
            <w:r>
              <w:rPr>
                <w:b/>
                <w:bCs/>
                <w:sz w:val="20"/>
                <w:szCs w:val="20"/>
              </w:rPr>
              <w:t xml:space="preserve">Specification</w:t>
            </w:r>
          </w:p>
        </w:tc>
      </w:tr>
      <w:tr>
        <w:tc>
          <w:tcPr>
            <w:tcW w:type="dxa" w:w="2704"/>
            <w:tcMar>
              <w:top w:type="dxa" w:w="60"/>
              <w:left w:type="dxa" w:w="100"/>
              <w:bottom w:type="dxa" w:w="60"/>
              <w:right w:type="dxa" w:w="100"/>
            </w:tcMar>
          </w:tcPr>
          <w:p>
            <w:pPr>
              <w:spacing w:after="40"/>
            </w:pPr>
            <w:r>
              <w:rPr>
                <w:b w:val="false"/>
                <w:bCs w:val="false"/>
                <w:sz w:val="20"/>
                <w:szCs w:val="20"/>
              </w:rPr>
              <w:t xml:space="preserve">New passive family</w:t>
            </w:r>
          </w:p>
        </w:tc>
        <w:tc>
          <w:tcPr>
            <w:tcW w:type="dxa" w:w="6656"/>
            <w:tcMar>
              <w:top w:type="dxa" w:w="60"/>
              <w:left w:type="dxa" w:w="100"/>
              <w:bottom w:type="dxa" w:w="60"/>
              <w:right w:type="dxa" w:w="100"/>
            </w:tcMar>
          </w:tcPr>
          <w:p>
            <w:pPr>
              <w:spacing w:after="40"/>
            </w:pPr>
            <w:r>
              <w:rPr>
                <w:b w:val="false"/>
                <w:bCs w:val="false"/>
                <w:sz w:val="20"/>
                <w:szCs w:val="20"/>
              </w:rPr>
              <w:t xml:space="preserve">CorruptionWard N (reduce corruption attrition per corrupted step by N) and HazardWard N (same for volcanic/swamp terrain drain). Armor and Trinket slots; obeys all v1 item rules.</w:t>
            </w:r>
          </w:p>
        </w:tc>
      </w:tr>
      <w:tr>
        <w:tc>
          <w:tcPr>
            <w:tcW w:type="dxa" w:w="2704"/>
            <w:tcMar>
              <w:top w:type="dxa" w:w="60"/>
              <w:left w:type="dxa" w:w="100"/>
              <w:bottom w:type="dxa" w:w="60"/>
              <w:right w:type="dxa" w:w="100"/>
            </w:tcMar>
          </w:tcPr>
          <w:p>
            <w:pPr>
              <w:spacing w:after="40"/>
            </w:pPr>
            <w:r>
              <w:rPr>
                <w:b w:val="false"/>
                <w:bCs w:val="false"/>
                <w:sz w:val="20"/>
                <w:szCs w:val="20"/>
              </w:rPr>
              <w:t xml:space="preserve">Party stacking rule</w:t>
            </w:r>
          </w:p>
        </w:tc>
        <w:tc>
          <w:tcPr>
            <w:tcW w:type="dxa" w:w="6656"/>
            <w:tcMar>
              <w:top w:type="dxa" w:w="60"/>
              <w:left w:type="dxa" w:w="100"/>
              <w:bottom w:type="dxa" w:w="60"/>
              <w:right w:type="dxa" w:w="100"/>
            </w:tcMar>
          </w:tcPr>
          <w:p>
            <w:pPr>
              <w:spacing w:after="40"/>
            </w:pPr>
            <w:r>
              <w:rPr>
                <w:b w:val="false"/>
                <w:bCs w:val="false"/>
                <w:sz w:val="20"/>
                <w:szCs w:val="20"/>
              </w:rPr>
              <w:t xml:space="preserve">Party resistance = Σ CorruptionWard across ALL equipped party members, hard-capped at (tile corruption tier × 2), and attrition never drops below 1 per corrupted step — the mirror of spell guardrail G4: relief is bought, immunity does not exist. The cap makes deep stacking pointless past the tier you are actually walking in.</w:t>
            </w:r>
          </w:p>
        </w:tc>
      </w:tr>
      <w:tr>
        <w:tc>
          <w:tcPr>
            <w:tcW w:type="dxa" w:w="2704"/>
            <w:tcMar>
              <w:top w:type="dxa" w:w="60"/>
              <w:left w:type="dxa" w:w="100"/>
              <w:bottom w:type="dxa" w:w="60"/>
              <w:right w:type="dxa" w:w="100"/>
            </w:tcMar>
          </w:tcPr>
          <w:p>
            <w:pPr>
              <w:spacing w:after="40"/>
            </w:pPr>
            <w:r>
              <w:rPr>
                <w:b w:val="false"/>
                <w:bCs w:val="false"/>
                <w:sz w:val="20"/>
                <w:szCs w:val="20"/>
              </w:rPr>
              <w:t xml:space="preserve">Interaction with the active lever</w:t>
            </w:r>
          </w:p>
        </w:tc>
        <w:tc>
          <w:tcPr>
            <w:tcW w:type="dxa" w:w="6656"/>
            <w:tcMar>
              <w:top w:type="dxa" w:w="60"/>
              <w:left w:type="dxa" w:w="100"/>
              <w:bottom w:type="dxa" w:w="60"/>
              <w:right w:type="dxa" w:w="100"/>
            </w:tcMar>
          </w:tcPr>
          <w:p>
            <w:pPr>
              <w:spacing w:after="40"/>
            </w:pPr>
            <w:r>
              <w:rPr>
                <w:b w:val="false"/>
                <w:bCs w:val="false"/>
                <w:sz w:val="20"/>
                <w:szCs w:val="20"/>
              </w:rPr>
              <w:t xml:space="preserve">Warding spells (Purifying Rite, Ember Ward) suppress on top of worn resistance for their windows. Passive gear sets the baseline bleed rate; Essence spend buys the deep pushes. Three levers, three timescales: roster (campaign), gear (expedition prep), Essence (this leg).</w:t>
            </w:r>
          </w:p>
        </w:tc>
      </w:tr>
    </w:tbl>
    <w:p>
      <w:pPr>
        <w:pStyle w:val="Heading2"/>
        <w:spacing w:after="120" w:before="280"/>
      </w:pPr>
      <w:r>
        <w:t xml:space="preserve">4c. Why this shape (and the objection to it)</w:t>
      </w:r>
    </w:p>
    <w:p>
      <w:pPr>
        <w:spacing w:after="120"/>
      </w:pPr>
      <w:r>
        <w:t xml:space="preserve">The objection worth recording: three levers on one pressure risks over-determining it — if pool, gear, and spells all scale, tier-3 attrition must be brutal at baseline to still matter, which punishes the underdeveloped roster hardest. Accepted, and intended: attrition is the forcing function that makes roster development mandatory rather than optional, which is exactly the Minalan pillar. The failure mode to watch in tuning is the floor, not the ceiling — a fresh-ish roster must be able to COMPLETE tier-2 content, merely expensively. Moderate-high confidence in the architecture; the specific constants are K1/Q3 tuning targets.</w:t>
      </w:r>
    </w:p>
    <w:p>
      <w:pPr>
        <w:pStyle w:val="Heading1"/>
        <w:spacing w:after="160" w:before="360"/>
      </w:pPr>
      <w:r>
        <w:t xml:space="preserve">5. People — Where They Come From and How They Leave</w:t>
      </w:r>
    </w:p>
    <w:p>
      <w:pPr>
        <w:pStyle w:val="Heading2"/>
        <w:spacing w:after="120" w:before="280"/>
      </w:pPr>
      <w:r>
        <w:t xml:space="preserve">5a. Recruitment v2 — hiring in the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6864"/>
      </w:tblGrid>
      <w:tr>
        <w:tc>
          <w:tcPr>
            <w:tcW w:type="dxa" w:w="2496"/>
            <w:shd w:fill="E8E4DA" w:val="clear"/>
            <w:tcMar>
              <w:top w:type="dxa" w:w="60"/>
              <w:left w:type="dxa" w:w="100"/>
              <w:bottom w:type="dxa" w:w="60"/>
              <w:right w:type="dxa" w:w="100"/>
            </w:tcMar>
          </w:tcPr>
          <w:p>
            <w:pPr>
              <w:spacing w:after="40"/>
            </w:pPr>
            <w:r>
              <w:rPr>
                <w:b/>
                <w:bCs/>
                <w:sz w:val="20"/>
                <w:szCs w:val="20"/>
              </w:rPr>
              <w:t xml:space="preserve">Source</w:t>
            </w:r>
          </w:p>
        </w:tc>
        <w:tc>
          <w:tcPr>
            <w:tcW w:type="dxa" w:w="6864"/>
            <w:shd w:fill="E8E4DA" w:val="clear"/>
            <w:tcMar>
              <w:top w:type="dxa" w:w="60"/>
              <w:left w:type="dxa" w:w="100"/>
              <w:bottom w:type="dxa" w:w="60"/>
              <w:right w:type="dxa" w:w="100"/>
            </w:tcMar>
          </w:tcPr>
          <w:p>
            <w:pPr>
              <w:spacing w:after="40"/>
            </w:pPr>
            <w:r>
              <w:rPr>
                <w:b/>
                <w:bCs/>
                <w:sz w:val="20"/>
                <w:szCs w:val="20"/>
              </w:rPr>
              <w:t xml:space="preserve">Behavior</w:t>
            </w:r>
          </w:p>
        </w:tc>
      </w:tr>
      <w:tr>
        <w:tc>
          <w:tcPr>
            <w:tcW w:type="dxa" w:w="2496"/>
            <w:tcMar>
              <w:top w:type="dxa" w:w="60"/>
              <w:left w:type="dxa" w:w="100"/>
              <w:bottom w:type="dxa" w:w="60"/>
              <w:right w:type="dxa" w:w="100"/>
            </w:tcMar>
          </w:tcPr>
          <w:p>
            <w:pPr>
              <w:spacing w:after="40"/>
            </w:pPr>
            <w:r>
              <w:rPr>
                <w:b w:val="false"/>
                <w:bCs w:val="false"/>
                <w:sz w:val="20"/>
                <w:szCs w:val="20"/>
              </w:rPr>
              <w:t xml:space="preserve">Hiring halls (settlements)</w:t>
            </w:r>
          </w:p>
        </w:tc>
        <w:tc>
          <w:tcPr>
            <w:tcW w:type="dxa" w:w="6864"/>
            <w:tcMar>
              <w:top w:type="dxa" w:w="60"/>
              <w:left w:type="dxa" w:w="100"/>
              <w:bottom w:type="dxa" w:w="60"/>
              <w:right w:type="dxa" w:w="100"/>
            </w:tcMar>
          </w:tcPr>
          <w:p>
            <w:pPr>
              <w:spacing w:after="40"/>
            </w:pPr>
            <w:r>
              <w:rPr>
                <w:b w:val="false"/>
                <w:bCs w:val="false"/>
                <w:sz w:val="20"/>
                <w:szCs w:val="20"/>
              </w:rPr>
              <w:t xml:space="preserve">Towns and cities generate 1–3 candidates per lunation, drawn from the procedural matrix (§5c) flavored by the kingdom's school and faction. City halls outdraw town halls in quality; a positive Steward regard discounts price; hiring inside a court's territory is itself a minor positive deed (employment given). Gold-priced — RecruitmentCost survives, relocated.</w:t>
            </w:r>
          </w:p>
        </w:tc>
      </w:tr>
      <w:tr>
        <w:tc>
          <w:tcPr>
            <w:tcW w:type="dxa" w:w="2496"/>
            <w:tcMar>
              <w:top w:type="dxa" w:w="60"/>
              <w:left w:type="dxa" w:w="100"/>
              <w:bottom w:type="dxa" w:w="60"/>
              <w:right w:type="dxa" w:w="100"/>
            </w:tcMar>
          </w:tcPr>
          <w:p>
            <w:pPr>
              <w:spacing w:after="40"/>
            </w:pPr>
            <w:r>
              <w:rPr>
                <w:b w:val="false"/>
                <w:bCs w:val="false"/>
                <w:sz w:val="20"/>
                <w:szCs w:val="20"/>
              </w:rPr>
              <w:t xml:space="preserve">Rescue &amp; companion POIs</w:t>
            </w:r>
          </w:p>
        </w:tc>
        <w:tc>
          <w:tcPr>
            <w:tcW w:type="dxa" w:w="6864"/>
            <w:tcMar>
              <w:top w:type="dxa" w:w="60"/>
              <w:left w:type="dxa" w:w="100"/>
              <w:bottom w:type="dxa" w:w="60"/>
              <w:right w:type="dxa" w:w="100"/>
            </w:tcMar>
          </w:tcPr>
          <w:p>
            <w:pPr>
              <w:spacing w:after="40"/>
            </w:pPr>
            <w:r>
              <w:rPr>
                <w:b w:val="false"/>
                <w:bCs w:val="false"/>
                <w:sz w:val="20"/>
                <w:szCs w:val="20"/>
              </w:rPr>
              <w:t xml:space="preserve">Found people: no gold, arrives with an obligation and a live arc (ArcStage already &gt; 0). The richest recruits narratively; the source of most authored companions in the wild.</w:t>
            </w:r>
          </w:p>
        </w:tc>
      </w:tr>
      <w:tr>
        <w:tc>
          <w:tcPr>
            <w:tcW w:type="dxa" w:w="2496"/>
            <w:tcMar>
              <w:top w:type="dxa" w:w="60"/>
              <w:left w:type="dxa" w:w="100"/>
              <w:bottom w:type="dxa" w:w="60"/>
              <w:right w:type="dxa" w:w="100"/>
            </w:tcMar>
          </w:tcPr>
          <w:p>
            <w:pPr>
              <w:spacing w:after="40"/>
            </w:pPr>
            <w:r>
              <w:rPr>
                <w:b w:val="false"/>
                <w:bCs w:val="false"/>
                <w:sz w:val="20"/>
                <w:szCs w:val="20"/>
              </w:rPr>
              <w:t xml:space="preserve">Negotiation (Cordial)</w:t>
            </w:r>
          </w:p>
        </w:tc>
        <w:tc>
          <w:tcPr>
            <w:tcW w:type="dxa" w:w="6864"/>
            <w:tcMar>
              <w:top w:type="dxa" w:w="60"/>
              <w:left w:type="dxa" w:w="100"/>
              <w:bottom w:type="dxa" w:w="60"/>
              <w:right w:type="dxa" w:w="100"/>
            </w:tcMar>
          </w:tcPr>
          <w:p>
            <w:pPr>
              <w:spacing w:after="40"/>
            </w:pPr>
            <w:r>
              <w:rPr>
                <w:b w:val="false"/>
                <w:bCs w:val="false"/>
                <w:sz w:val="20"/>
                <w:szCs w:val="20"/>
              </w:rPr>
              <w:t xml:space="preserve">A counterpart seconds a protégé as a deal option — the social route to people, parallel to the item rarity bump.</w:t>
            </w:r>
          </w:p>
        </w:tc>
      </w:tr>
      <w:tr>
        <w:tc>
          <w:tcPr>
            <w:tcW w:type="dxa" w:w="2496"/>
            <w:tcMar>
              <w:top w:type="dxa" w:w="60"/>
              <w:left w:type="dxa" w:w="100"/>
              <w:bottom w:type="dxa" w:w="60"/>
              <w:right w:type="dxa" w:w="100"/>
            </w:tcMar>
          </w:tcPr>
          <w:p>
            <w:pPr>
              <w:spacing w:after="40"/>
            </w:pPr>
            <w:r>
              <w:rPr>
                <w:b w:val="false"/>
                <w:bCs w:val="false"/>
                <w:sz w:val="20"/>
                <w:szCs w:val="20"/>
              </w:rPr>
              <w:t xml:space="preserve">Court favor redemption</w:t>
            </w:r>
          </w:p>
        </w:tc>
        <w:tc>
          <w:tcPr>
            <w:tcW w:type="dxa" w:w="6864"/>
            <w:tcMar>
              <w:top w:type="dxa" w:w="60"/>
              <w:left w:type="dxa" w:w="100"/>
              <w:bottom w:type="dxa" w:w="60"/>
              <w:right w:type="dxa" w:w="100"/>
            </w:tcMar>
          </w:tcPr>
          <w:p>
            <w:pPr>
              <w:spacing w:after="40"/>
            </w:pPr>
            <w:r>
              <w:rPr>
                <w:b w:val="false"/>
                <w:bCs w:val="false"/>
                <w:sz w:val="20"/>
                <w:szCs w:val="20"/>
              </w:rPr>
              <w:t xml:space="preserve">Call in a Major favor for a named retainer of that court — a courtier's own person, arriving with court ties that cut both ways (their patron watches how you treat them; mistreatment echoes).</w:t>
            </w:r>
          </w:p>
        </w:tc>
      </w:tr>
      <w:tr>
        <w:tc>
          <w:tcPr>
            <w:tcW w:type="dxa" w:w="2496"/>
            <w:tcMar>
              <w:top w:type="dxa" w:w="60"/>
              <w:left w:type="dxa" w:w="100"/>
              <w:bottom w:type="dxa" w:w="60"/>
              <w:right w:type="dxa" w:w="100"/>
            </w:tcMar>
          </w:tcPr>
          <w:p>
            <w:pPr>
              <w:spacing w:after="40"/>
            </w:pPr>
            <w:r>
              <w:rPr>
                <w:b w:val="false"/>
                <w:bCs w:val="false"/>
                <w:sz w:val="20"/>
                <w:szCs w:val="20"/>
              </w:rPr>
              <w:t xml:space="preserve">Archmage resolution (Unite)</w:t>
            </w:r>
          </w:p>
        </w:tc>
        <w:tc>
          <w:tcPr>
            <w:tcW w:type="dxa" w:w="6864"/>
            <w:tcMar>
              <w:top w:type="dxa" w:w="60"/>
              <w:left w:type="dxa" w:w="100"/>
              <w:bottom w:type="dxa" w:w="60"/>
              <w:right w:type="dxa" w:w="100"/>
            </w:tcMar>
          </w:tcPr>
          <w:p>
            <w:pPr>
              <w:spacing w:after="40"/>
            </w:pPr>
            <w:r>
              <w:rPr>
                <w:b w:val="false"/>
                <w:bCs w:val="false"/>
                <w:sz w:val="20"/>
                <w:szCs w:val="20"/>
              </w:rPr>
              <w:t xml:space="preserve">A united school seconds one adept of that school — stacking with the Unite spell reward to make Unite the people-and-knowledge path where Overthrow is the power-and-shard path.</w:t>
            </w:r>
          </w:p>
        </w:tc>
      </w:tr>
      <w:tr>
        <w:tc>
          <w:tcPr>
            <w:tcW w:type="dxa" w:w="2496"/>
            <w:tcMar>
              <w:top w:type="dxa" w:w="60"/>
              <w:left w:type="dxa" w:w="100"/>
              <w:bottom w:type="dxa" w:w="60"/>
              <w:right w:type="dxa" w:w="100"/>
            </w:tcMar>
          </w:tcPr>
          <w:p>
            <w:pPr>
              <w:spacing w:after="40"/>
            </w:pPr>
            <w:r>
              <w:rPr>
                <w:b w:val="false"/>
                <w:bCs w:val="false"/>
                <w:sz w:val="20"/>
                <w:szCs w:val="20"/>
              </w:rPr>
              <w:t xml:space="preserve">Corruption displacement</w:t>
            </w:r>
          </w:p>
        </w:tc>
        <w:tc>
          <w:tcPr>
            <w:tcW w:type="dxa" w:w="6864"/>
            <w:tcMar>
              <w:top w:type="dxa" w:w="60"/>
              <w:left w:type="dxa" w:w="100"/>
              <w:bottom w:type="dxa" w:w="60"/>
              <w:right w:type="dxa" w:w="100"/>
            </w:tcMar>
          </w:tcPr>
          <w:p>
            <w:pPr>
              <w:spacing w:after="40"/>
            </w:pPr>
            <w:r>
              <w:rPr>
                <w:b w:val="false"/>
                <w:bCs w:val="false"/>
                <w:sz w:val="20"/>
                <w:szCs w:val="20"/>
              </w:rPr>
              <w:t xml:space="preserve">Refugees from territories reaching CorruptionLevel 2+ appear in adjacent hiring halls at reduced cost — the world's collapse priced into its labor market. Enters at 50 like everyone (v1 locked); the discount is the only concession.</w:t>
            </w:r>
          </w:p>
        </w:tc>
      </w:tr>
    </w:tbl>
    <w:p>
      <w:pPr>
        <w:pStyle w:val="Heading2"/>
        <w:spacing w:after="120" w:before="280"/>
      </w:pPr>
      <w:r>
        <w:t xml:space="preserve">5b. Injury and death — the missing middle state</w:t>
      </w:r>
    </w:p>
    <w:p>
      <w:pPr>
        <w:spacing w:after="120"/>
      </w:pPr>
      <w:r>
        <w:t xml:space="preserve">v1 locked permadeath's cost but never defined its trigger; downed companions currently pay loyalty and nothing else. v2 ruling:</w:t>
      </w:r>
    </w:p>
    <w:p>
      <w:pPr>
        <w:pStyle w:val="ListParagraph"/>
        <w:numPr>
          <w:ilvl w:val="0"/>
          <w:numId w:val="2"/>
        </w:numPr>
        <w:spacing w:after="60"/>
      </w:pPr>
      <w:r>
        <w:rPr>
          <w:b/>
          <w:bCs/>
        </w:rPr>
        <w:t xml:space="preserve">Downed in a combat the party wins: </w:t>
      </w:r>
      <w:r>
        <w:rPr>
          <w:b w:val="false"/>
          <w:bCs w:val="false"/>
        </w:rPr>
        <w:t xml:space="preserve">no lasting harm (heroism stays free, per v1's loyalty table).</w:t>
      </w:r>
    </w:p>
    <w:p>
      <w:pPr>
        <w:pStyle w:val="ListParagraph"/>
        <w:numPr>
          <w:ilvl w:val="0"/>
          <w:numId w:val="2"/>
        </w:numPr>
        <w:spacing w:after="60"/>
      </w:pPr>
      <w:r>
        <w:rPr>
          <w:b/>
          <w:bCs/>
        </w:rPr>
        <w:t xml:space="preserve">Downed in a lost/retreated combat, or party pool reaches 0 (expedition wipe): </w:t>
      </w:r>
      <w:r>
        <w:rPr>
          <w:b w:val="false"/>
          <w:bCs w:val="false"/>
        </w:rPr>
        <w:t xml:space="preserve">each affected companion rolls on the tier: Tier 1 — injured; Tier 2 — injured, 15% death; Tier 3 — injured, 30% death; boss contexts — 40%. Sworn companions subtract 10 points of death chance: earned plot armor, the mechanical face of 'she has survived worse with you.'</w:t>
      </w:r>
    </w:p>
    <w:p>
      <w:pPr>
        <w:pStyle w:val="ListParagraph"/>
        <w:numPr>
          <w:ilvl w:val="0"/>
          <w:numId w:val="2"/>
        </w:numPr>
        <w:spacing w:after="60"/>
      </w:pPr>
      <w:r>
        <w:rPr>
          <w:b/>
          <w:bCs/>
        </w:rPr>
        <w:t xml:space="preserve">Injured: </w:t>
      </w:r>
      <w:r>
        <w:rPr>
          <w:b w:val="false"/>
          <w:bCs w:val="false"/>
        </w:rPr>
        <w:t xml:space="preserve">unavailable for all three demands for 1–2 lunations (severity roll), recovering at campus. Infirmary capability attaches to Training Grounds tiers rather than a new building — the campus roster has enough buildings. Injuries are the demand-math's third leg: a bad expedition doesn't just cost the run, it understaffs the next two lunations.</w:t>
      </w:r>
    </w:p>
    <w:p>
      <w:pPr>
        <w:pStyle w:val="ListParagraph"/>
        <w:numPr>
          <w:ilvl w:val="0"/>
          <w:numId w:val="2"/>
        </w:numPr>
        <w:spacing w:after="60"/>
      </w:pPr>
      <w:r>
        <w:rPr>
          <w:b/>
          <w:bCs/>
        </w:rPr>
        <w:t xml:space="preserve">Death: </w:t>
      </w:r>
      <w:r>
        <w:rPr>
          <w:b w:val="false"/>
          <w:bCs w:val="false"/>
        </w:rPr>
        <w:t xml:space="preserve">v1's ripple and signature destruction, unchanged. No injury state precedes death within a single wipe — the roll is one roll.</w:t>
      </w:r>
    </w:p>
    <w:p>
      <w:pPr>
        <w:pStyle w:val="Heading2"/>
        <w:spacing w:after="120" w:before="280"/>
      </w:pPr>
      <w:r>
        <w:t xml:space="preserve">5c. Candidate generation — hybrid roster</w:t>
      </w:r>
    </w:p>
    <w:p>
      <w:pPr>
        <w:spacing w:after="120"/>
      </w:pPr>
      <w:r>
        <w:t xml:space="preserve">Authored companions (the existing Data/Companions JSONs and future arc-bearing characters) are the emotional backbone the Convergence payoff depends on; procedural hirelings fill the demand economy. The procedural matrix is Class (Fighter/Ranger/Arcane) × School (8) × Trait (5), with stat spreads rolled inside class envelopes and 0–2 pre-trained stances by settlement quality. That is 120 cells before stat variance — enough that two hires are never twins, cheap because every cell's mechanics already exist (v1's perk and signature matrices are Class × Trait by construction; they cover procedural people for free). Authored companions differ only in having written arcs, bespoke signature overrides (v1's signatureId hook), and fixed identities. Both die by the same rules — a protected class of immortal named characters would gut the stakes that make 'good people' precious. The Sworn death-chance reduction is the only armor anyone gets, and anyone can earn it. Moderate-high confidence; the counterposition (authored companions capture-not-kill) is preserved as Open Decision #2 because the Convergence content bill if a key authored companion dies early is real and unpaid.</w:t>
      </w:r>
    </w:p>
    <w:p>
      <w:pPr>
        <w:pStyle w:val="Heading1"/>
        <w:spacing w:after="160" w:before="360"/>
      </w:pPr>
      <w:r>
        <w:t xml:space="preserve">6. Companion Attributes as Cross-System Fitness</w:t>
      </w:r>
    </w:p>
    <w:p>
      <w:pPr>
        <w:spacing w:after="120"/>
      </w:pPr>
      <w:r>
        <w:t xml:space="preserve">Court &amp; Council's envoy fitness roll is missing companion-side terms (the standing horizon item). v2 defines the vector once, consumed everywhere a companion is evaluated for a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c>
          <w:tcPr>
            <w:tcW w:type="dxa" w:w="2288"/>
            <w:shd w:fill="E8E4DA" w:val="clear"/>
            <w:tcMar>
              <w:top w:type="dxa" w:w="60"/>
              <w:left w:type="dxa" w:w="100"/>
              <w:bottom w:type="dxa" w:w="60"/>
              <w:right w:type="dxa" w:w="100"/>
            </w:tcMar>
          </w:tcPr>
          <w:p>
            <w:pPr>
              <w:spacing w:after="40"/>
            </w:pPr>
            <w:r>
              <w:rPr>
                <w:b/>
                <w:bCs/>
                <w:sz w:val="20"/>
                <w:szCs w:val="20"/>
              </w:rPr>
              <w:t xml:space="preserve">Term</w:t>
            </w:r>
          </w:p>
        </w:tc>
        <w:tc>
          <w:tcPr>
            <w:tcW w:type="dxa" w:w="7072"/>
            <w:shd w:fill="E8E4DA" w:val="clear"/>
            <w:tcMar>
              <w:top w:type="dxa" w:w="60"/>
              <w:left w:type="dxa" w:w="100"/>
              <w:bottom w:type="dxa" w:w="60"/>
              <w:right w:type="dxa" w:w="100"/>
            </w:tcMar>
          </w:tcPr>
          <w:p>
            <w:pPr>
              <w:spacing w:after="40"/>
            </w:pPr>
            <w:r>
              <w:rPr>
                <w:b/>
                <w:bCs/>
                <w:sz w:val="20"/>
                <w:szCs w:val="20"/>
              </w:rPr>
              <w:t xml:space="preserve">Derivation</w:t>
            </w:r>
          </w:p>
        </w:tc>
      </w:tr>
      <w:tr>
        <w:tc>
          <w:tcPr>
            <w:tcW w:type="dxa" w:w="2288"/>
            <w:tcMar>
              <w:top w:type="dxa" w:w="60"/>
              <w:left w:type="dxa" w:w="100"/>
              <w:bottom w:type="dxa" w:w="60"/>
              <w:right w:type="dxa" w:w="100"/>
            </w:tcMar>
          </w:tcPr>
          <w:p>
            <w:pPr>
              <w:spacing w:after="40"/>
            </w:pPr>
            <w:r>
              <w:rPr>
                <w:b w:val="false"/>
                <w:bCs w:val="false"/>
                <w:sz w:val="20"/>
                <w:szCs w:val="20"/>
              </w:rPr>
              <w:t xml:space="preserve">School term</w:t>
            </w:r>
          </w:p>
        </w:tc>
        <w:tc>
          <w:tcPr>
            <w:tcW w:type="dxa" w:w="7072"/>
            <w:tcMar>
              <w:top w:type="dxa" w:w="60"/>
              <w:left w:type="dxa" w:w="100"/>
              <w:bottom w:type="dxa" w:w="60"/>
              <w:right w:type="dxa" w:w="100"/>
            </w:tcMar>
          </w:tcPr>
          <w:p>
            <w:pPr>
              <w:spacing w:after="40"/>
            </w:pPr>
            <w:r>
              <w:rPr>
                <w:b w:val="false"/>
                <w:bCs w:val="false"/>
                <w:sz w:val="20"/>
                <w:szCs w:val="20"/>
              </w:rPr>
              <w:t xml:space="preserve">Companion school vs the court's kingdom school lean and (for archmage-adjacent missions) school-vs-archmage affinity — the missing school term, fed from the archmage JSONs now that ids are confirmed.</w:t>
            </w:r>
          </w:p>
        </w:tc>
      </w:tr>
      <w:tr>
        <w:tc>
          <w:tcPr>
            <w:tcW w:type="dxa" w:w="2288"/>
            <w:tcMar>
              <w:top w:type="dxa" w:w="60"/>
              <w:left w:type="dxa" w:w="100"/>
              <w:bottom w:type="dxa" w:w="60"/>
              <w:right w:type="dxa" w:w="100"/>
            </w:tcMar>
          </w:tcPr>
          <w:p>
            <w:pPr>
              <w:spacing w:after="40"/>
            </w:pPr>
            <w:r>
              <w:rPr>
                <w:b w:val="false"/>
                <w:bCs w:val="false"/>
                <w:sz w:val="20"/>
                <w:szCs w:val="20"/>
              </w:rPr>
              <w:t xml:space="preserve">Archetype matchup</w:t>
            </w:r>
          </w:p>
        </w:tc>
        <w:tc>
          <w:tcPr>
            <w:tcW w:type="dxa" w:w="7072"/>
            <w:tcMar>
              <w:top w:type="dxa" w:w="60"/>
              <w:left w:type="dxa" w:w="100"/>
              <w:bottom w:type="dxa" w:w="60"/>
              <w:right w:type="dxa" w:w="100"/>
            </w:tcMar>
          </w:tcPr>
          <w:p>
            <w:pPr>
              <w:spacing w:after="40"/>
            </w:pPr>
            <w:r>
              <w:rPr>
                <w:b w:val="false"/>
                <w:bCs w:val="false"/>
                <w:sz w:val="20"/>
                <w:szCs w:val="20"/>
              </w:rPr>
              <w:t xml:space="preserve">PersonalityTrait → courtier-archetype affinity: Cunning→Spymaster, Loyal→Commander, Curious→Court Wizard, Stoic→Chancellor, Reckless→Favorite. One row each way (affinity and friction); values live in a data table beside CouncilVocab. BLOCKED on the standing CouncilVocab archetype-casing verification before wiring — verify, then fill.</w:t>
            </w:r>
          </w:p>
        </w:tc>
      </w:tr>
      <w:tr>
        <w:tc>
          <w:tcPr>
            <w:tcW w:type="dxa" w:w="2288"/>
            <w:tcMar>
              <w:top w:type="dxa" w:w="60"/>
              <w:left w:type="dxa" w:w="100"/>
              <w:bottom w:type="dxa" w:w="60"/>
              <w:right w:type="dxa" w:w="100"/>
            </w:tcMar>
          </w:tcPr>
          <w:p>
            <w:pPr>
              <w:spacing w:after="40"/>
            </w:pPr>
            <w:r>
              <w:rPr>
                <w:b w:val="false"/>
                <w:bCs w:val="false"/>
                <w:sz w:val="20"/>
                <w:szCs w:val="20"/>
              </w:rPr>
              <w:t xml:space="preserve">Standing term</w:t>
            </w:r>
          </w:p>
        </w:tc>
        <w:tc>
          <w:tcPr>
            <w:tcW w:type="dxa" w:w="7072"/>
            <w:tcMar>
              <w:top w:type="dxa" w:w="60"/>
              <w:left w:type="dxa" w:w="100"/>
              <w:bottom w:type="dxa" w:w="60"/>
              <w:right w:type="dxa" w:w="100"/>
            </w:tcMar>
          </w:tcPr>
          <w:p>
            <w:pPr>
              <w:spacing w:after="40"/>
            </w:pPr>
            <w:r>
              <w:rPr>
                <w:b w:val="false"/>
                <w:bCs w:val="false"/>
                <w:sz w:val="20"/>
                <w:szCs w:val="20"/>
              </w:rPr>
              <w:t xml:space="preserve">LoyaltyTier: Wary envoys should barely function (they are not yours); Sworn adds a flat bonus. Reuses the tier the player already develops — no second track.</w:t>
            </w:r>
          </w:p>
        </w:tc>
      </w:tr>
      <w:tr>
        <w:tc>
          <w:tcPr>
            <w:tcW w:type="dxa" w:w="2288"/>
            <w:tcMar>
              <w:top w:type="dxa" w:w="60"/>
              <w:left w:type="dxa" w:w="100"/>
              <w:bottom w:type="dxa" w:w="60"/>
              <w:right w:type="dxa" w:w="100"/>
            </w:tcMar>
          </w:tcPr>
          <w:p>
            <w:pPr>
              <w:spacing w:after="40"/>
            </w:pPr>
            <w:r>
              <w:rPr>
                <w:b w:val="false"/>
                <w:bCs w:val="false"/>
                <w:sz w:val="20"/>
                <w:szCs w:val="20"/>
              </w:rPr>
              <w:t xml:space="preserve">Experience term</w:t>
            </w:r>
          </w:p>
        </w:tc>
        <w:tc>
          <w:tcPr>
            <w:tcW w:type="dxa" w:w="7072"/>
            <w:tcMar>
              <w:top w:type="dxa" w:w="60"/>
              <w:left w:type="dxa" w:w="100"/>
              <w:bottom w:type="dxa" w:w="60"/>
              <w:right w:type="dxa" w:w="100"/>
            </w:tcMar>
          </w:tcPr>
          <w:p>
            <w:pPr>
              <w:spacing w:after="40"/>
            </w:pPr>
            <w:r>
              <w:rPr>
                <w:b w:val="false"/>
                <w:bCs w:val="false"/>
                <w:sz w:val="20"/>
                <w:szCs w:val="20"/>
              </w:rPr>
              <w:t xml:space="preserve">ArcStage as a small additive — people with history perform.</w:t>
            </w:r>
          </w:p>
        </w:tc>
      </w:tr>
    </w:tbl>
    <w:p>
      <w:pPr>
        <w:spacing w:after="120"/>
      </w:pPr>
      <w:r>
        <w:t xml:space="preserve">The same vector prices expedition value implicitly (cards, tokens, granted spells, HP contribution are all already school/trait/loyalty-derived), so the player reads ONE dossier and can reason about every job. The dossier panel (§9) renders exactly these terms.</w:t>
      </w:r>
    </w:p>
    <w:p>
      <w:pPr>
        <w:pStyle w:val="Heading1"/>
        <w:spacing w:after="160" w:before="360"/>
      </w:pPr>
      <w:r>
        <w:t xml:space="preserve">7. Items v2</w:t>
      </w:r>
    </w:p>
    <w:p>
      <w:pPr>
        <w:pStyle w:val="Heading2"/>
        <w:spacing w:after="120" w:before="280"/>
      </w:pPr>
      <w:r>
        <w:t xml:space="preserve">7a. The actual fix: one effect dispatcher, not two</w:t>
      </w:r>
    </w:p>
    <w:p>
      <w:pPr>
        <w:spacing w:after="120"/>
      </w:pPr>
      <w:r>
        <w:rPr>
          <w:b/>
          <w:bCs/>
          <w:i w:val="false"/>
          <w:iCs w:val="false"/>
        </w:rPr>
        <w:t xml:space="preserve">'Items are mostly broken' has a specific cause: </w:t>
      </w:r>
      <w:r>
        <w:rPr>
          <w:b w:val="false"/>
          <w:bCs w:val="false"/>
          <w:i w:val="false"/>
          <w:iCs w:val="false"/>
        </w:rPr>
        <w:t xml:space="preserve">the ItemPassiveTag enum + bespoke dispatch is a second, half-built effect system living beside the combat pipeline. v2 rules: item passives migrate onto the unit-system trigger bus (archmage_unique_units §5 — OnSpawn/OnAttack/OnStruck/OnTurnEnd/Aura/EveryNRounds), as string effect keys dispatched by the same handler map enemy abilities use. An item is then mechanically 'an ability the wearer carries': Duelist's Brand is an OnAttack handler, shield-on-combat-start is OnSpawn, GuardianAura is Aura. One dispatcher family to debug, one log grammar (combat_ui_v2 §9 covers item procs for free: '[Elara] Duelist's Brand: Bleed applied'), and every future item effect costs a handler, not a subsystem. Dependency: U3 — which is now stack-integrated (R3): item triggers ride the same stack pipeline, resolving under the player's own priority with AI auto-pass, so item procs surface on the stack strip and the shared log grammar like any ability. RULED (R9): migration adopted. High confidence — this remains the single highest-leverage decision in the document.</w:t>
      </w:r>
    </w:p>
    <w:p>
      <w:pPr>
        <w:pStyle w:val="Heading2"/>
        <w:spacing w:after="120" w:before="280"/>
      </w:pPr>
      <w:r>
        <w:t xml:space="preserve">7b. Passive family expansion — items follow the player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7280"/>
      </w:tblGrid>
      <w:tr>
        <w:tc>
          <w:tcPr>
            <w:tcW w:type="dxa" w:w="2080"/>
            <w:shd w:fill="E8E4DA" w:val="clear"/>
            <w:tcMar>
              <w:top w:type="dxa" w:w="60"/>
              <w:left w:type="dxa" w:w="100"/>
              <w:bottom w:type="dxa" w:w="60"/>
              <w:right w:type="dxa" w:w="100"/>
            </w:tcMar>
          </w:tcPr>
          <w:p>
            <w:pPr>
              <w:spacing w:after="40"/>
            </w:pPr>
            <w:r>
              <w:rPr>
                <w:b/>
                <w:bCs/>
                <w:sz w:val="20"/>
                <w:szCs w:val="20"/>
              </w:rPr>
              <w:t xml:space="preserve">Domain</w:t>
            </w:r>
          </w:p>
        </w:tc>
        <w:tc>
          <w:tcPr>
            <w:tcW w:type="dxa" w:w="7280"/>
            <w:shd w:fill="E8E4DA" w:val="clear"/>
            <w:tcMar>
              <w:top w:type="dxa" w:w="60"/>
              <w:left w:type="dxa" w:w="100"/>
              <w:bottom w:type="dxa" w:w="60"/>
              <w:right w:type="dxa" w:w="100"/>
            </w:tcMar>
          </w:tcPr>
          <w:p>
            <w:pPr>
              <w:spacing w:after="40"/>
            </w:pPr>
            <w:r>
              <w:rPr>
                <w:b/>
                <w:bCs/>
                <w:sz w:val="20"/>
                <w:szCs w:val="20"/>
              </w:rPr>
              <w:t xml:space="preserve">New passive families (all inside v1's rules — one innate + one enchant, slot identity holds)</w:t>
            </w:r>
          </w:p>
        </w:tc>
      </w:tr>
      <w:tr>
        <w:tc>
          <w:tcPr>
            <w:tcW w:type="dxa" w:w="2080"/>
            <w:tcMar>
              <w:top w:type="dxa" w:w="60"/>
              <w:left w:type="dxa" w:w="100"/>
              <w:bottom w:type="dxa" w:w="60"/>
              <w:right w:type="dxa" w:w="100"/>
            </w:tcMar>
          </w:tcPr>
          <w:p>
            <w:pPr>
              <w:spacing w:after="40"/>
            </w:pPr>
            <w:r>
              <w:rPr>
                <w:b w:val="false"/>
                <w:bCs w:val="false"/>
                <w:sz w:val="20"/>
                <w:szCs w:val="20"/>
              </w:rPr>
              <w:t xml:space="preserve">Overworld (Trinket-leaning)</w:t>
            </w:r>
          </w:p>
        </w:tc>
        <w:tc>
          <w:tcPr>
            <w:tcW w:type="dxa" w:w="7280"/>
            <w:tcMar>
              <w:top w:type="dxa" w:w="60"/>
              <w:left w:type="dxa" w:w="100"/>
              <w:bottom w:type="dxa" w:w="60"/>
              <w:right w:type="dxa" w:w="100"/>
            </w:tcMar>
          </w:tcPr>
          <w:p>
            <w:pPr>
              <w:spacing w:after="40"/>
            </w:pPr>
            <w:r>
              <w:rPr>
                <w:b w:val="false"/>
                <w:bCs w:val="false"/>
                <w:sz w:val="20"/>
                <w:szCs w:val="20"/>
              </w:rPr>
              <w:t xml:space="preserve">CorruptionWard / HazardWard (§4b) · Pathfinder(terrain): −1 step cost in one terrain type, floor 1 · EssenceWell: +2 max Essence · Chartwright: +1 silhouette radius · Provisioner: Rest sites heal +25% for the party. Trinket = 'economy, utility, rule-benders' (v1) extends naturally to the map.</w:t>
            </w:r>
          </w:p>
        </w:tc>
      </w:tr>
      <w:tr>
        <w:tc>
          <w:tcPr>
            <w:tcW w:type="dxa" w:w="2080"/>
            <w:tcMar>
              <w:top w:type="dxa" w:w="60"/>
              <w:left w:type="dxa" w:w="100"/>
              <w:bottom w:type="dxa" w:w="60"/>
              <w:right w:type="dxa" w:w="100"/>
            </w:tcMar>
          </w:tcPr>
          <w:p>
            <w:pPr>
              <w:spacing w:after="40"/>
            </w:pPr>
            <w:r>
              <w:rPr>
                <w:b w:val="false"/>
                <w:bCs w:val="false"/>
                <w:sz w:val="20"/>
                <w:szCs w:val="20"/>
              </w:rPr>
              <w:t xml:space="preserve">Court &amp; negotiation</w:t>
            </w:r>
          </w:p>
        </w:tc>
        <w:tc>
          <w:tcPr>
            <w:tcW w:type="dxa" w:w="7280"/>
            <w:tcMar>
              <w:top w:type="dxa" w:w="60"/>
              <w:left w:type="dxa" w:w="100"/>
              <w:bottom w:type="dxa" w:w="60"/>
              <w:right w:type="dxa" w:w="100"/>
            </w:tcMar>
          </w:tcPr>
          <w:p>
            <w:pPr>
              <w:spacing w:after="40"/>
            </w:pPr>
            <w:r>
              <w:rPr>
                <w:b w:val="false"/>
                <w:bCs w:val="false"/>
                <w:sz w:val="20"/>
                <w:szCs w:val="20"/>
              </w:rPr>
              <w:t xml:space="preserve">TokenBearer (+1 fixed token — already in the v1 enchant pool; promoted to an innate family) · Seal of Introduction: first mission at any court the guild has never visited gains +fitness · Gift of Standing: while equipped by a dispatched envoy, mission regard gains +1 (the item is WITH the envoy — dispatch takes the gear too, a real cost the player must notice).</w:t>
            </w:r>
          </w:p>
        </w:tc>
      </w:tr>
      <w:tr>
        <w:tc>
          <w:tcPr>
            <w:tcW w:type="dxa" w:w="2080"/>
            <w:tcMar>
              <w:top w:type="dxa" w:w="60"/>
              <w:left w:type="dxa" w:w="100"/>
              <w:bottom w:type="dxa" w:w="60"/>
              <w:right w:type="dxa" w:w="100"/>
            </w:tcMar>
          </w:tcPr>
          <w:p>
            <w:pPr>
              <w:spacing w:after="40"/>
            </w:pPr>
            <w:r>
              <w:rPr>
                <w:b w:val="false"/>
                <w:bCs w:val="false"/>
                <w:sz w:val="20"/>
                <w:szCs w:val="20"/>
              </w:rPr>
              <w:t xml:space="preserve">Combat</w:t>
            </w:r>
          </w:p>
        </w:tc>
        <w:tc>
          <w:tcPr>
            <w:tcW w:type="dxa" w:w="7280"/>
            <w:tcMar>
              <w:top w:type="dxa" w:w="60"/>
              <w:left w:type="dxa" w:w="100"/>
              <w:bottom w:type="dxa" w:w="60"/>
              <w:right w:type="dxa" w:w="100"/>
            </w:tcMar>
          </w:tcPr>
          <w:p>
            <w:pPr>
              <w:spacing w:after="40"/>
            </w:pPr>
            <w:r>
              <w:rPr>
                <w:b w:val="false"/>
                <w:bCs w:val="false"/>
                <w:sz w:val="20"/>
                <w:szCs w:val="20"/>
              </w:rPr>
              <w:t xml:space="preserve">Unchanged in kind from v1's budget; rebuilt on the trigger bus per 7a.</w:t>
            </w:r>
          </w:p>
        </w:tc>
      </w:tr>
    </w:tbl>
    <w:p>
      <w:pPr>
        <w:pStyle w:val="Heading2"/>
        <w:spacing w:after="120" w:before="280"/>
      </w:pPr>
      <w:r>
        <w:t xml:space="preserve">7c. Sources — every activity pays in things (the reward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4"/>
        <w:gridCol w:w="6656"/>
      </w:tblGrid>
      <w:tr>
        <w:tc>
          <w:tcPr>
            <w:tcW w:type="dxa" w:w="2704"/>
            <w:shd w:fill="E8E4DA" w:val="clear"/>
            <w:tcMar>
              <w:top w:type="dxa" w:w="60"/>
              <w:left w:type="dxa" w:w="100"/>
              <w:bottom w:type="dxa" w:w="60"/>
              <w:right w:type="dxa" w:w="100"/>
            </w:tcMar>
          </w:tcPr>
          <w:p>
            <w:pPr>
              <w:spacing w:after="40"/>
            </w:pPr>
            <w:r>
              <w:rPr>
                <w:b/>
                <w:bCs/>
                <w:sz w:val="20"/>
                <w:szCs w:val="20"/>
              </w:rPr>
              <w:t xml:space="preserve">Activity</w:t>
            </w:r>
          </w:p>
        </w:tc>
        <w:tc>
          <w:tcPr>
            <w:tcW w:type="dxa" w:w="6656"/>
            <w:shd w:fill="E8E4DA" w:val="clear"/>
            <w:tcMar>
              <w:top w:type="dxa" w:w="60"/>
              <w:left w:type="dxa" w:w="100"/>
              <w:bottom w:type="dxa" w:w="60"/>
              <w:right w:type="dxa" w:w="100"/>
            </w:tcMar>
          </w:tcPr>
          <w:p>
            <w:pPr>
              <w:spacing w:after="40"/>
            </w:pPr>
            <w:r>
              <w:rPr>
                <w:b/>
                <w:bCs/>
                <w:sz w:val="20"/>
                <w:szCs w:val="20"/>
              </w:rPr>
              <w:t xml:space="preserve">Item payout</w:t>
            </w:r>
          </w:p>
        </w:tc>
      </w:tr>
      <w:tr>
        <w:tc>
          <w:tcPr>
            <w:tcW w:type="dxa" w:w="2704"/>
            <w:tcMar>
              <w:top w:type="dxa" w:w="60"/>
              <w:left w:type="dxa" w:w="100"/>
              <w:bottom w:type="dxa" w:w="60"/>
              <w:right w:type="dxa" w:w="100"/>
            </w:tcMar>
          </w:tcPr>
          <w:p>
            <w:pPr>
              <w:spacing w:after="40"/>
            </w:pPr>
            <w:r>
              <w:rPr>
                <w:b w:val="false"/>
                <w:bCs w:val="false"/>
                <w:sz w:val="20"/>
                <w:szCs w:val="20"/>
              </w:rPr>
              <w:t xml:space="preserve">Combat / elites / bosses</w:t>
            </w:r>
          </w:p>
        </w:tc>
        <w:tc>
          <w:tcPr>
            <w:tcW w:type="dxa" w:w="6656"/>
            <w:tcMar>
              <w:top w:type="dxa" w:w="60"/>
              <w:left w:type="dxa" w:w="100"/>
              <w:bottom w:type="dxa" w:w="60"/>
              <w:right w:type="dxa" w:w="100"/>
            </w:tcMar>
          </w:tcPr>
          <w:p>
            <w:pPr>
              <w:spacing w:after="40"/>
            </w:pPr>
            <w:r>
              <w:rPr>
                <w:b w:val="false"/>
                <w:bCs w:val="false"/>
                <w:sz w:val="20"/>
                <w:szCs w:val="20"/>
              </w:rPr>
              <w:t xml:space="preserve">v1 tier tables carried; elite double-roll carried; archmage boss Legendary candidate carried.</w:t>
            </w:r>
          </w:p>
        </w:tc>
      </w:tr>
      <w:tr>
        <w:tc>
          <w:tcPr>
            <w:tcW w:type="dxa" w:w="2704"/>
            <w:tcMar>
              <w:top w:type="dxa" w:w="60"/>
              <w:left w:type="dxa" w:w="100"/>
              <w:bottom w:type="dxa" w:w="60"/>
              <w:right w:type="dxa" w:w="100"/>
            </w:tcMar>
          </w:tcPr>
          <w:p>
            <w:pPr>
              <w:spacing w:after="40"/>
            </w:pPr>
            <w:r>
              <w:rPr>
                <w:b w:val="false"/>
                <w:bCs w:val="false"/>
                <w:sz w:val="20"/>
                <w:szCs w:val="20"/>
              </w:rPr>
              <w:t xml:space="preserve">Exploration POIs</w:t>
            </w:r>
          </w:p>
        </w:tc>
        <w:tc>
          <w:tcPr>
            <w:tcW w:type="dxa" w:w="6656"/>
            <w:tcMar>
              <w:top w:type="dxa" w:w="60"/>
              <w:left w:type="dxa" w:w="100"/>
              <w:bottom w:type="dxa" w:w="60"/>
              <w:right w:type="dxa" w:w="100"/>
            </w:tcMar>
          </w:tcPr>
          <w:p>
            <w:pPr>
              <w:spacing w:after="40"/>
            </w:pPr>
            <w:r>
              <w:rPr>
                <w:b w:val="false"/>
                <w:bCs w:val="false"/>
                <w:sz w:val="20"/>
                <w:szCs w:val="20"/>
              </w:rPr>
              <w:t xml:space="preserve">Terrain-flavored pools carried and extended to the live climates: desert pools lean Trinket/relic-fragment (buried things), tundra pools lean Armor (what survives the cold survives you).</w:t>
            </w:r>
          </w:p>
        </w:tc>
      </w:tr>
      <w:tr>
        <w:tc>
          <w:tcPr>
            <w:tcW w:type="dxa" w:w="2704"/>
            <w:tcMar>
              <w:top w:type="dxa" w:w="60"/>
              <w:left w:type="dxa" w:w="100"/>
              <w:bottom w:type="dxa" w:w="60"/>
              <w:right w:type="dxa" w:w="100"/>
            </w:tcMar>
          </w:tcPr>
          <w:p>
            <w:pPr>
              <w:spacing w:after="40"/>
            </w:pPr>
            <w:r>
              <w:rPr>
                <w:b w:val="false"/>
                <w:bCs w:val="false"/>
                <w:sz w:val="20"/>
                <w:szCs w:val="20"/>
              </w:rPr>
              <w:t xml:space="preserve">Negotiation (Cordial)</w:t>
            </w:r>
          </w:p>
        </w:tc>
        <w:tc>
          <w:tcPr>
            <w:tcW w:type="dxa" w:w="6656"/>
            <w:tcMar>
              <w:top w:type="dxa" w:w="60"/>
              <w:left w:type="dxa" w:w="100"/>
              <w:bottom w:type="dxa" w:w="60"/>
              <w:right w:type="dxa" w:w="100"/>
            </w:tcMar>
          </w:tcPr>
          <w:p>
            <w:pPr>
              <w:spacing w:after="40"/>
            </w:pPr>
            <w:r>
              <w:rPr>
                <w:b w:val="false"/>
                <w:bCs w:val="false"/>
                <w:sz w:val="20"/>
                <w:szCs w:val="20"/>
              </w:rPr>
              <w:t xml:space="preserve">One-rarity bump carried.</w:t>
            </w:r>
          </w:p>
        </w:tc>
      </w:tr>
      <w:tr>
        <w:tc>
          <w:tcPr>
            <w:tcW w:type="dxa" w:w="2704"/>
            <w:tcMar>
              <w:top w:type="dxa" w:w="60"/>
              <w:left w:type="dxa" w:w="100"/>
              <w:bottom w:type="dxa" w:w="60"/>
              <w:right w:type="dxa" w:w="100"/>
            </w:tcMar>
          </w:tcPr>
          <w:p>
            <w:pPr>
              <w:spacing w:after="40"/>
            </w:pPr>
            <w:r>
              <w:rPr>
                <w:b w:val="false"/>
                <w:bCs w:val="false"/>
                <w:sz w:val="20"/>
                <w:szCs w:val="20"/>
              </w:rPr>
              <w:t xml:space="preserve">Settlement markets</w:t>
            </w:r>
          </w:p>
        </w:tc>
        <w:tc>
          <w:tcPr>
            <w:tcW w:type="dxa" w:w="6656"/>
            <w:tcMar>
              <w:top w:type="dxa" w:w="60"/>
              <w:left w:type="dxa" w:w="100"/>
              <w:bottom w:type="dxa" w:w="60"/>
              <w:right w:type="dxa" w:w="100"/>
            </w:tcMar>
          </w:tcPr>
          <w:p>
            <w:pPr>
              <w:spacing w:after="40"/>
            </w:pPr>
            <w:r>
              <w:rPr>
                <w:b w:val="false"/>
                <w:bCs w:val="false"/>
                <w:sz w:val="20"/>
                <w:szCs w:val="20"/>
              </w:rPr>
              <w:t xml:space="preserve">NEW: city markets stock region-flavored Common–Rare with prices moved by court standing (Steward regard = the discount that makes befriending the money-man legible). The campus Merchant Quarter persists as the home vendor with broader but blander stock; the Auction House remains the only Legendary purchase venue (both per guild_campus, unchanged).</w:t>
            </w:r>
          </w:p>
        </w:tc>
      </w:tr>
      <w:tr>
        <w:tc>
          <w:tcPr>
            <w:tcW w:type="dxa" w:w="2704"/>
            <w:tcMar>
              <w:top w:type="dxa" w:w="60"/>
              <w:left w:type="dxa" w:w="100"/>
              <w:bottom w:type="dxa" w:w="60"/>
              <w:right w:type="dxa" w:w="100"/>
            </w:tcMar>
          </w:tcPr>
          <w:p>
            <w:pPr>
              <w:spacing w:after="40"/>
            </w:pPr>
            <w:r>
              <w:rPr>
                <w:b w:val="false"/>
                <w:bCs w:val="false"/>
                <w:sz w:val="20"/>
                <w:szCs w:val="20"/>
              </w:rPr>
              <w:t xml:space="preserve">Court favor ledger</w:t>
            </w:r>
          </w:p>
        </w:tc>
        <w:tc>
          <w:tcPr>
            <w:tcW w:type="dxa" w:w="6656"/>
            <w:tcMar>
              <w:top w:type="dxa" w:w="60"/>
              <w:left w:type="dxa" w:w="100"/>
              <w:bottom w:type="dxa" w:w="60"/>
              <w:right w:type="dxa" w:w="100"/>
            </w:tcMar>
          </w:tcPr>
          <w:p>
            <w:pPr>
              <w:spacing w:after="40"/>
            </w:pPr>
            <w:r>
              <w:rPr>
                <w:b w:val="false"/>
                <w:bCs w:val="false"/>
                <w:sz w:val="20"/>
                <w:szCs w:val="20"/>
              </w:rPr>
              <w:t xml:space="preserve">NEW: Major favors redeemable for a courtier-flavored item (the Marshal's own sword is a gift with a story and a watcher).</w:t>
            </w:r>
          </w:p>
        </w:tc>
      </w:tr>
      <w:tr>
        <w:tc>
          <w:tcPr>
            <w:tcW w:type="dxa" w:w="2704"/>
            <w:tcMar>
              <w:top w:type="dxa" w:w="60"/>
              <w:left w:type="dxa" w:w="100"/>
              <w:bottom w:type="dxa" w:w="60"/>
              <w:right w:type="dxa" w:w="100"/>
            </w:tcMar>
          </w:tcPr>
          <w:p>
            <w:pPr>
              <w:spacing w:after="40"/>
            </w:pPr>
            <w:r>
              <w:rPr>
                <w:b w:val="false"/>
                <w:bCs w:val="false"/>
                <w:sz w:val="20"/>
                <w:szCs w:val="20"/>
              </w:rPr>
              <w:t xml:space="preserve">Archmage resolution</w:t>
            </w:r>
          </w:p>
        </w:tc>
        <w:tc>
          <w:tcPr>
            <w:tcW w:type="dxa" w:w="6656"/>
            <w:tcMar>
              <w:top w:type="dxa" w:w="60"/>
              <w:left w:type="dxa" w:w="100"/>
              <w:bottom w:type="dxa" w:w="60"/>
              <w:right w:type="dxa" w:w="100"/>
            </w:tcMar>
          </w:tcPr>
          <w:p>
            <w:pPr>
              <w:spacing w:after="40"/>
            </w:pPr>
            <w:r>
              <w:rPr>
                <w:b w:val="false"/>
                <w:bCs w:val="false"/>
                <w:sz w:val="20"/>
                <w:szCs w:val="20"/>
              </w:rPr>
              <w:t xml:space="preserve">NEW: each archmage has ONE authored Legendary relic. Overthrow drops it; Unite gifts it at the alliance's first anniversary lunation (patience priced in); Corrupted archmagi's relics enter the Auction House — the world loots what falls. One authored item × 8 archmagi is a bounded content bill with maximal identity.</w:t>
            </w:r>
          </w:p>
        </w:tc>
      </w:tr>
      <w:tr>
        <w:tc>
          <w:tcPr>
            <w:tcW w:type="dxa" w:w="2704"/>
            <w:tcMar>
              <w:top w:type="dxa" w:w="60"/>
              <w:left w:type="dxa" w:w="100"/>
              <w:bottom w:type="dxa" w:w="60"/>
              <w:right w:type="dxa" w:w="100"/>
            </w:tcMar>
          </w:tcPr>
          <w:p>
            <w:pPr>
              <w:spacing w:after="40"/>
            </w:pPr>
            <w:r>
              <w:rPr>
                <w:b w:val="false"/>
                <w:bCs w:val="false"/>
                <w:sz w:val="20"/>
                <w:szCs w:val="20"/>
              </w:rPr>
              <w:t xml:space="preserve">Corruption zones</w:t>
            </w:r>
          </w:p>
        </w:tc>
        <w:tc>
          <w:tcPr>
            <w:tcW w:type="dxa" w:w="6656"/>
            <w:tcMar>
              <w:top w:type="dxa" w:w="60"/>
              <w:left w:type="dxa" w:w="100"/>
              <w:bottom w:type="dxa" w:w="60"/>
              <w:right w:type="dxa" w:w="100"/>
            </w:tcMar>
          </w:tcPr>
          <w:p>
            <w:pPr>
              <w:spacing w:after="40"/>
            </w:pPr>
            <w:r>
              <w:rPr>
                <w:b w:val="false"/>
                <w:bCs w:val="false"/>
                <w:sz w:val="20"/>
                <w:szCs w:val="20"/>
              </w:rPr>
              <w:t xml:space="preserve">Blighted items, §7d.</w:t>
            </w:r>
          </w:p>
        </w:tc>
      </w:tr>
    </w:tbl>
    <w:p>
      <w:pPr>
        <w:pStyle w:val="Heading2"/>
        <w:spacing w:after="120" w:before="280"/>
      </w:pPr>
      <w:r>
        <w:t xml:space="preserve">7d. Blighted items — risk-priced gear</w:t>
      </w:r>
    </w:p>
    <w:p>
      <w:pPr>
        <w:spacing w:after="120"/>
      </w:pPr>
      <w:r>
        <w:t xml:space="preserve">Drops inside corruption 60+ carry a chance to be Blighted: an above-floor innate passive PLUS an innate drawback line (e.g., 'Whisperbound Circlet: +3 SpellDamage; the wearer contributes −2 to the party pool'), and the enchant slot arrives SEALED. Workshop Tier 3 gains a new verb: Cleanse — remove the drawback and unseal the slot for a steep cost in gold + rare reagents. This respects the two-effect ceiling by construction (the drawback occupies the enchant slot until cleansed), gives corruption zones a reward identity that isn't just bigger numbers, and hands the Workshop a mid-game verb between enchanting and the once-per-save relic. The drawback list is authored, never rolled — v1's no-procedural-affixes rule holds on both sides of the item.</w:t>
      </w:r>
    </w:p>
    <w:p>
      <w:pPr>
        <w:pStyle w:val="Heading1"/>
        <w:spacing w:after="160" w:before="360"/>
      </w:pPr>
      <w:r>
        <w:t xml:space="preserve">8. The Muster Screen</w:t>
      </w:r>
    </w:p>
    <w:p>
      <w:pPr>
        <w:spacing w:after="120"/>
      </w:pPr>
      <w:r>
        <w:t xml:space="preserve">Expedition preparation currently fragments across party selection, (future) grimoire prep, and armory loadouts. v2 consolidates into one Muster screen at expedition launch: party picks (with live pool-HP readout and demand conflicts shown — 'Yara: at the court of the Vale, returns in 2 lunations'), per-member loadout slots, grimoire slots + granted-innates preview, scroll kit. One screen where the allocation decision — the game's actual core decision under the Minalan pillar — is made with all its costs visible. The dossier panel (school, class, trait, loyalty tier, arc stage, stances, the §6 fitness terms, equipment) is shared between Muster, the hiring hall, and the court dispatch screen: one people-reading surface everywhere people are read. Standard UI rules apply (CallDeferred builds, UITheme colors, design-space coordinates per combat_ui_v2 §4).</w:t>
      </w:r>
    </w:p>
    <w:p>
      <w:pPr>
        <w:pStyle w:val="Heading1"/>
        <w:spacing w:after="160" w:before="360"/>
      </w:pPr>
      <w:r>
        <w:t xml:space="preserve">9. Systems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c>
          <w:tcPr>
            <w:tcW w:type="dxa" w:w="2288"/>
            <w:shd w:fill="E8E4DA" w:val="clear"/>
            <w:tcMar>
              <w:top w:type="dxa" w:w="60"/>
              <w:left w:type="dxa" w:w="100"/>
              <w:bottom w:type="dxa" w:w="60"/>
              <w:right w:type="dxa" w:w="100"/>
            </w:tcMar>
          </w:tcPr>
          <w:p>
            <w:pPr>
              <w:spacing w:after="40"/>
            </w:pPr>
            <w:r>
              <w:rPr>
                <w:b/>
                <w:bCs/>
                <w:sz w:val="20"/>
                <w:szCs w:val="20"/>
              </w:rPr>
              <w:t xml:space="preserve">System</w:t>
            </w:r>
          </w:p>
        </w:tc>
        <w:tc>
          <w:tcPr>
            <w:tcW w:type="dxa" w:w="7072"/>
            <w:shd w:fill="E8E4DA" w:val="clear"/>
            <w:tcMar>
              <w:top w:type="dxa" w:w="60"/>
              <w:left w:type="dxa" w:w="100"/>
              <w:bottom w:type="dxa" w:w="60"/>
              <w:right w:type="dxa" w:w="100"/>
            </w:tcMar>
          </w:tcPr>
          <w:p>
            <w:pPr>
              <w:spacing w:after="40"/>
            </w:pPr>
            <w:r>
              <w:rPr>
                <w:b/>
                <w:bCs/>
                <w:sz w:val="20"/>
                <w:szCs w:val="20"/>
              </w:rPr>
              <w:t xml:space="preserve">Interaction</w:t>
            </w:r>
          </w:p>
        </w:tc>
      </w:tr>
      <w:tr>
        <w:tc>
          <w:tcPr>
            <w:tcW w:type="dxa" w:w="2288"/>
            <w:tcMar>
              <w:top w:type="dxa" w:w="60"/>
              <w:left w:type="dxa" w:w="100"/>
              <w:bottom w:type="dxa" w:w="60"/>
              <w:right w:type="dxa" w:w="100"/>
            </w:tcMar>
          </w:tcPr>
          <w:p>
            <w:pPr>
              <w:spacing w:after="40"/>
            </w:pPr>
            <w:r>
              <w:rPr>
                <w:b w:val="false"/>
                <w:bCs w:val="false"/>
                <w:sz w:val="20"/>
                <w:szCs w:val="20"/>
              </w:rPr>
              <w:t xml:space="preserve">Overworld spells</w:t>
            </w:r>
          </w:p>
        </w:tc>
        <w:tc>
          <w:tcPr>
            <w:tcW w:type="dxa" w:w="7072"/>
            <w:tcMar>
              <w:top w:type="dxa" w:w="60"/>
              <w:left w:type="dxa" w:w="100"/>
              <w:bottom w:type="dxa" w:w="60"/>
              <w:right w:type="dxa" w:w="100"/>
            </w:tcMar>
          </w:tcPr>
          <w:p>
            <w:pPr>
              <w:spacing w:after="40"/>
            </w:pPr>
            <w:r>
              <w:rPr>
                <w:b w:val="false"/>
                <w:bCs w:val="false"/>
                <w:sz w:val="20"/>
                <w:szCs w:val="20"/>
              </w:rPr>
              <w:t xml:space="preserve">Granted innates per spells §4a unchanged; EssenceWell items extend the pool; the Adept's tax waiver makes Adept wizards the roster-flexibility school on the item side too.</w:t>
            </w:r>
          </w:p>
        </w:tc>
      </w:tr>
      <w:tr>
        <w:tc>
          <w:tcPr>
            <w:tcW w:type="dxa" w:w="2288"/>
            <w:tcMar>
              <w:top w:type="dxa" w:w="60"/>
              <w:left w:type="dxa" w:w="100"/>
              <w:bottom w:type="dxa" w:w="60"/>
              <w:right w:type="dxa" w:w="100"/>
            </w:tcMar>
          </w:tcPr>
          <w:p>
            <w:pPr>
              <w:spacing w:after="40"/>
            </w:pPr>
            <w:r>
              <w:rPr>
                <w:b w:val="false"/>
                <w:bCs w:val="false"/>
                <w:sz w:val="20"/>
                <w:szCs w:val="20"/>
              </w:rPr>
              <w:t xml:space="preserve">Court &amp; Council</w:t>
            </w:r>
          </w:p>
        </w:tc>
        <w:tc>
          <w:tcPr>
            <w:tcW w:type="dxa" w:w="7072"/>
            <w:tcMar>
              <w:top w:type="dxa" w:w="60"/>
              <w:left w:type="dxa" w:w="100"/>
              <w:bottom w:type="dxa" w:w="60"/>
              <w:right w:type="dxa" w:w="100"/>
            </w:tcMar>
          </w:tcPr>
          <w:p>
            <w:pPr>
              <w:spacing w:after="40"/>
            </w:pPr>
            <w:r>
              <w:rPr>
                <w:b w:val="false"/>
                <w:bCs w:val="false"/>
                <w:sz w:val="20"/>
                <w:szCs w:val="20"/>
              </w:rPr>
              <w:t xml:space="preserve">Fitness vector (§6); dispatched companions take their equipped items with them (Gift of Standing works BECAUSE of this); favor→item and favor→retainer redemptions.</w:t>
            </w:r>
          </w:p>
        </w:tc>
      </w:tr>
      <w:tr>
        <w:tc>
          <w:tcPr>
            <w:tcW w:type="dxa" w:w="2288"/>
            <w:tcMar>
              <w:top w:type="dxa" w:w="60"/>
              <w:left w:type="dxa" w:w="100"/>
              <w:bottom w:type="dxa" w:w="60"/>
              <w:right w:type="dxa" w:w="100"/>
            </w:tcMar>
          </w:tcPr>
          <w:p>
            <w:pPr>
              <w:spacing w:after="40"/>
            </w:pPr>
            <w:r>
              <w:rPr>
                <w:b w:val="false"/>
                <w:bCs w:val="false"/>
                <w:sz w:val="20"/>
                <w:szCs w:val="20"/>
              </w:rPr>
              <w:t xml:space="preserve">Corruption</w:t>
            </w:r>
          </w:p>
        </w:tc>
        <w:tc>
          <w:tcPr>
            <w:tcW w:type="dxa" w:w="7072"/>
            <w:tcMar>
              <w:top w:type="dxa" w:w="60"/>
              <w:left w:type="dxa" w:w="100"/>
              <w:bottom w:type="dxa" w:w="60"/>
              <w:right w:type="dxa" w:w="100"/>
            </w:tcMar>
          </w:tcPr>
          <w:p>
            <w:pPr>
              <w:spacing w:after="40"/>
            </w:pPr>
            <w:r>
              <w:rPr>
                <w:b w:val="false"/>
                <w:bCs w:val="false"/>
                <w:sz w:val="20"/>
                <w:szCs w:val="20"/>
              </w:rPr>
              <w:t xml:space="preserve">The §4 package; blighted drops; displacement recruits.</w:t>
            </w:r>
          </w:p>
        </w:tc>
      </w:tr>
      <w:tr>
        <w:tc>
          <w:tcPr>
            <w:tcW w:type="dxa" w:w="2288"/>
            <w:tcMar>
              <w:top w:type="dxa" w:w="60"/>
              <w:left w:type="dxa" w:w="100"/>
              <w:bottom w:type="dxa" w:w="60"/>
              <w:right w:type="dxa" w:w="100"/>
            </w:tcMar>
          </w:tcPr>
          <w:p>
            <w:pPr>
              <w:spacing w:after="40"/>
            </w:pPr>
            <w:r>
              <w:rPr>
                <w:b w:val="false"/>
                <w:bCs w:val="false"/>
                <w:sz w:val="20"/>
                <w:szCs w:val="20"/>
              </w:rPr>
              <w:t xml:space="preserve">Calendar</w:t>
            </w:r>
          </w:p>
        </w:tc>
        <w:tc>
          <w:tcPr>
            <w:tcW w:type="dxa" w:w="7072"/>
            <w:tcMar>
              <w:top w:type="dxa" w:w="60"/>
              <w:left w:type="dxa" w:w="100"/>
              <w:bottom w:type="dxa" w:w="60"/>
              <w:right w:type="dxa" w:w="100"/>
            </w:tcMar>
          </w:tcPr>
          <w:p>
            <w:pPr>
              <w:spacing w:after="40"/>
            </w:pPr>
            <w:r>
              <w:rPr>
                <w:b w:val="false"/>
                <w:bCs w:val="false"/>
                <w:sz w:val="20"/>
                <w:szCs w:val="20"/>
              </w:rPr>
              <w:t xml:space="preserve">Injury recovery in lunations; hiring-hall refresh per lunation; the Unite relic anniversary.</w:t>
            </w:r>
          </w:p>
        </w:tc>
      </w:tr>
      <w:tr>
        <w:tc>
          <w:tcPr>
            <w:tcW w:type="dxa" w:w="2288"/>
            <w:tcMar>
              <w:top w:type="dxa" w:w="60"/>
              <w:left w:type="dxa" w:w="100"/>
              <w:bottom w:type="dxa" w:w="60"/>
              <w:right w:type="dxa" w:w="100"/>
            </w:tcMar>
          </w:tcPr>
          <w:p>
            <w:pPr>
              <w:spacing w:after="40"/>
            </w:pPr>
            <w:r>
              <w:rPr>
                <w:b w:val="false"/>
                <w:bCs w:val="false"/>
                <w:sz w:val="20"/>
                <w:szCs w:val="20"/>
              </w:rPr>
              <w:t xml:space="preserve">Unit system</w:t>
            </w:r>
          </w:p>
        </w:tc>
        <w:tc>
          <w:tcPr>
            <w:tcW w:type="dxa" w:w="7072"/>
            <w:tcMar>
              <w:top w:type="dxa" w:w="60"/>
              <w:left w:type="dxa" w:w="100"/>
              <w:bottom w:type="dxa" w:w="60"/>
              <w:right w:type="dxa" w:w="100"/>
            </w:tcMar>
          </w:tcPr>
          <w:p>
            <w:pPr>
              <w:spacing w:after="40"/>
            </w:pPr>
            <w:r>
              <w:rPr>
                <w:b w:val="false"/>
                <w:bCs w:val="false"/>
                <w:sz w:val="20"/>
                <w:szCs w:val="20"/>
              </w:rPr>
              <w:t xml:space="preserve">Trigger-bus migration (7a); companions spawn as units reading loadout-modified stats through the same UnitDefinition-era pipeline.</w:t>
            </w:r>
          </w:p>
        </w:tc>
      </w:tr>
      <w:tr>
        <w:tc>
          <w:tcPr>
            <w:tcW w:type="dxa" w:w="2288"/>
            <w:tcMar>
              <w:top w:type="dxa" w:w="60"/>
              <w:left w:type="dxa" w:w="100"/>
              <w:bottom w:type="dxa" w:w="60"/>
              <w:right w:type="dxa" w:w="100"/>
            </w:tcMar>
          </w:tcPr>
          <w:p>
            <w:pPr>
              <w:spacing w:after="40"/>
            </w:pPr>
            <w:r>
              <w:rPr>
                <w:b w:val="false"/>
                <w:bCs w:val="false"/>
                <w:sz w:val="20"/>
                <w:szCs w:val="20"/>
              </w:rPr>
              <w:t xml:space="preserve">Convergence</w:t>
            </w:r>
          </w:p>
        </w:tc>
        <w:tc>
          <w:tcPr>
            <w:tcW w:type="dxa" w:w="7072"/>
            <w:tcMar>
              <w:top w:type="dxa" w:w="60"/>
              <w:left w:type="dxa" w:w="100"/>
              <w:bottom w:type="dxa" w:w="60"/>
              <w:right w:type="dxa" w:w="100"/>
            </w:tcMar>
          </w:tcPr>
          <w:p>
            <w:pPr>
              <w:spacing w:after="40"/>
            </w:pPr>
            <w:r>
              <w:rPr>
                <w:b w:val="false"/>
                <w:bCs w:val="false"/>
                <w:sz w:val="20"/>
                <w:szCs w:val="20"/>
              </w:rPr>
              <w:t xml:space="preserve">Arc-completed (Sworn, ArcStage 4) companions are the emotional payload; the death rules (§5b) are what make bringing them to the end mean something.</w:t>
            </w:r>
          </w:p>
        </w:tc>
      </w:tr>
      <w:tr>
        <w:tc>
          <w:tcPr>
            <w:tcW w:type="dxa" w:w="2288"/>
            <w:tcMar>
              <w:top w:type="dxa" w:w="60"/>
              <w:left w:type="dxa" w:w="100"/>
              <w:bottom w:type="dxa" w:w="60"/>
              <w:right w:type="dxa" w:w="100"/>
            </w:tcMar>
          </w:tcPr>
          <w:p>
            <w:pPr>
              <w:spacing w:after="40"/>
            </w:pPr>
            <w:r>
              <w:rPr>
                <w:b w:val="false"/>
                <w:bCs w:val="false"/>
                <w:sz w:val="20"/>
                <w:szCs w:val="20"/>
              </w:rPr>
              <w:t xml:space="preserve">Echoes</w:t>
            </w:r>
          </w:p>
        </w:tc>
        <w:tc>
          <w:tcPr>
            <w:tcW w:type="dxa" w:w="7072"/>
            <w:tcMar>
              <w:top w:type="dxa" w:w="60"/>
              <w:left w:type="dxa" w:w="100"/>
              <w:bottom w:type="dxa" w:w="60"/>
              <w:right w:type="dxa" w:w="100"/>
            </w:tcMar>
          </w:tcPr>
          <w:p>
            <w:pPr>
              <w:spacing w:after="40"/>
            </w:pPr>
            <w:r>
              <w:rPr>
                <w:b w:val="false"/>
                <w:bCs w:val="false"/>
                <w:sz w:val="20"/>
                <w:szCs w:val="20"/>
              </w:rPr>
              <w:t xml:space="preserve">Hiring in territory (+minor), mistreating a court-gifted retainer (−), and the existing deed set unchanged.</w:t>
            </w:r>
          </w:p>
        </w:tc>
      </w:tr>
    </w:tbl>
    <w:p>
      <w:pPr>
        <w:pStyle w:val="Heading1"/>
        <w:spacing w:after="160" w:before="360"/>
      </w:pPr>
      <w:r>
        <w:t xml:space="preserve">10. Build Phases</w:t>
      </w:r>
    </w:p>
    <w:p>
      <w:pPr>
        <w:spacing w:after="120"/>
      </w:pPr>
      <w:r>
        <w:t xml:space="preserve">Two tracks: K (people) and Q (things). K1 and Q1 are independent of everything; Q2 depends on the unit system's U3.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5200"/>
        <w:gridCol w:w="3224"/>
      </w:tblGrid>
      <w:tr>
        <w:tc>
          <w:tcPr>
            <w:tcW w:type="dxa" w:w="936"/>
            <w:shd w:fill="E8E4DA" w:val="clear"/>
            <w:tcMar>
              <w:top w:type="dxa" w:w="60"/>
              <w:left w:type="dxa" w:w="100"/>
              <w:bottom w:type="dxa" w:w="60"/>
              <w:right w:type="dxa" w:w="100"/>
            </w:tcMar>
          </w:tcPr>
          <w:p>
            <w:pPr>
              <w:spacing w:after="40"/>
            </w:pPr>
            <w:r>
              <w:rPr>
                <w:b/>
                <w:bCs/>
                <w:sz w:val="20"/>
                <w:szCs w:val="20"/>
              </w:rPr>
              <w:t xml:space="preserve">Phase</w:t>
            </w:r>
          </w:p>
        </w:tc>
        <w:tc>
          <w:tcPr>
            <w:tcW w:type="dxa" w:w="5200"/>
            <w:shd w:fill="E8E4DA" w:val="clear"/>
            <w:tcMar>
              <w:top w:type="dxa" w:w="60"/>
              <w:left w:type="dxa" w:w="100"/>
              <w:bottom w:type="dxa" w:w="60"/>
              <w:right w:type="dxa" w:w="100"/>
            </w:tcMar>
          </w:tcPr>
          <w:p>
            <w:pPr>
              <w:spacing w:after="40"/>
            </w:pPr>
            <w:r>
              <w:rPr>
                <w:b/>
                <w:bCs/>
                <w:sz w:val="20"/>
                <w:szCs w:val="20"/>
              </w:rPr>
              <w:t xml:space="preserve">Contents</w:t>
            </w:r>
          </w:p>
        </w:tc>
        <w:tc>
          <w:tcPr>
            <w:tcW w:type="dxa" w:w="3224"/>
            <w:shd w:fill="E8E4DA" w:val="clear"/>
            <w:tcMar>
              <w:top w:type="dxa" w:w="60"/>
              <w:left w:type="dxa" w:w="100"/>
              <w:bottom w:type="dxa" w:w="60"/>
              <w:right w:type="dxa" w:w="100"/>
            </w:tcMar>
          </w:tcPr>
          <w:p>
            <w:pPr>
              <w:spacing w:after="40"/>
            </w:pPr>
            <w:r>
              <w:rPr>
                <w:b/>
                <w:bCs/>
                <w:sz w:val="20"/>
                <w:szCs w:val="20"/>
              </w:rPr>
              <w:t xml:space="preserve">Exit criteria</w:t>
            </w:r>
          </w:p>
        </w:tc>
      </w:tr>
      <w:tr>
        <w:tc>
          <w:tcPr>
            <w:tcW w:type="dxa" w:w="936"/>
            <w:tcMar>
              <w:top w:type="dxa" w:w="60"/>
              <w:left w:type="dxa" w:w="100"/>
              <w:bottom w:type="dxa" w:w="60"/>
              <w:right w:type="dxa" w:w="100"/>
            </w:tcMar>
          </w:tcPr>
          <w:p>
            <w:pPr>
              <w:spacing w:after="40"/>
            </w:pPr>
            <w:r>
              <w:rPr>
                <w:b w:val="false"/>
                <w:bCs w:val="false"/>
                <w:sz w:val="20"/>
                <w:szCs w:val="20"/>
              </w:rPr>
              <w:t xml:space="preserve">K1</w:t>
            </w:r>
          </w:p>
        </w:tc>
        <w:tc>
          <w:tcPr>
            <w:tcW w:type="dxa" w:w="5200"/>
            <w:tcMar>
              <w:top w:type="dxa" w:w="60"/>
              <w:left w:type="dxa" w:w="100"/>
              <w:bottom w:type="dxa" w:w="60"/>
              <w:right w:type="dxa" w:w="100"/>
            </w:tcMar>
          </w:tcPr>
          <w:p>
            <w:pPr>
              <w:spacing w:after="40"/>
            </w:pPr>
            <w:r>
              <w:rPr>
                <w:b w:val="false"/>
                <w:bCs w:val="false"/>
                <w:sz w:val="20"/>
                <w:szCs w:val="20"/>
              </w:rPr>
              <w:t xml:space="preserve">ComputePartyBaseHP real (§4a formula + loyalty bonuses); pool readout at launch.</w:t>
            </w:r>
          </w:p>
        </w:tc>
        <w:tc>
          <w:tcPr>
            <w:tcW w:type="dxa" w:w="3224"/>
            <w:tcMar>
              <w:top w:type="dxa" w:w="60"/>
              <w:left w:type="dxa" w:w="100"/>
              <w:bottom w:type="dxa" w:w="60"/>
              <w:right w:type="dxa" w:w="100"/>
            </w:tcMar>
          </w:tcPr>
          <w:p>
            <w:pPr>
              <w:spacing w:after="40"/>
            </w:pPr>
            <w:r>
              <w:rPr>
                <w:b w:val="false"/>
                <w:bCs w:val="false"/>
                <w:sz w:val="20"/>
                <w:szCs w:val="20"/>
              </w:rPr>
              <w:t xml:space="preserve">Party pool computes from live roster; attrition consumes it; save round-trip holds.</w:t>
            </w:r>
          </w:p>
        </w:tc>
      </w:tr>
      <w:tr>
        <w:tc>
          <w:tcPr>
            <w:tcW w:type="dxa" w:w="936"/>
            <w:tcMar>
              <w:top w:type="dxa" w:w="60"/>
              <w:left w:type="dxa" w:w="100"/>
              <w:bottom w:type="dxa" w:w="60"/>
              <w:right w:type="dxa" w:w="100"/>
            </w:tcMar>
          </w:tcPr>
          <w:p>
            <w:pPr>
              <w:spacing w:after="40"/>
            </w:pPr>
            <w:r>
              <w:rPr>
                <w:b w:val="false"/>
                <w:bCs w:val="false"/>
                <w:sz w:val="20"/>
                <w:szCs w:val="20"/>
              </w:rPr>
              <w:t xml:space="preserve">K2</w:t>
            </w:r>
          </w:p>
        </w:tc>
        <w:tc>
          <w:tcPr>
            <w:tcW w:type="dxa" w:w="5200"/>
            <w:tcMar>
              <w:top w:type="dxa" w:w="60"/>
              <w:left w:type="dxa" w:w="100"/>
              <w:bottom w:type="dxa" w:w="60"/>
              <w:right w:type="dxa" w:w="100"/>
            </w:tcMar>
          </w:tcPr>
          <w:p>
            <w:pPr>
              <w:spacing w:after="40"/>
            </w:pPr>
            <w:r>
              <w:rPr>
                <w:b w:val="false"/>
                <w:bCs w:val="false"/>
                <w:sz w:val="20"/>
                <w:szCs w:val="20"/>
              </w:rPr>
              <w:t xml:space="preserve">Injury/death triggers (§5b) + infirmary recovery on the lunation tick.</w:t>
            </w:r>
          </w:p>
        </w:tc>
        <w:tc>
          <w:tcPr>
            <w:tcW w:type="dxa" w:w="3224"/>
            <w:tcMar>
              <w:top w:type="dxa" w:w="60"/>
              <w:left w:type="dxa" w:w="100"/>
              <w:bottom w:type="dxa" w:w="60"/>
              <w:right w:type="dxa" w:w="100"/>
            </w:tcMar>
          </w:tcPr>
          <w:p>
            <w:pPr>
              <w:spacing w:after="40"/>
            </w:pPr>
            <w:r>
              <w:rPr>
                <w:b w:val="false"/>
                <w:bCs w:val="false"/>
                <w:sz w:val="20"/>
                <w:szCs w:val="20"/>
              </w:rPr>
              <w:t xml:space="preserve">A tier-2 wipe injures the party per the rolls; injured companions are excluded from all three demands and return on schedule.</w:t>
            </w:r>
          </w:p>
        </w:tc>
      </w:tr>
      <w:tr>
        <w:tc>
          <w:tcPr>
            <w:tcW w:type="dxa" w:w="936"/>
            <w:tcMar>
              <w:top w:type="dxa" w:w="60"/>
              <w:left w:type="dxa" w:w="100"/>
              <w:bottom w:type="dxa" w:w="60"/>
              <w:right w:type="dxa" w:w="100"/>
            </w:tcMar>
          </w:tcPr>
          <w:p>
            <w:pPr>
              <w:spacing w:after="40"/>
            </w:pPr>
            <w:r>
              <w:rPr>
                <w:b w:val="false"/>
                <w:bCs w:val="false"/>
                <w:sz w:val="20"/>
                <w:szCs w:val="20"/>
              </w:rPr>
              <w:t xml:space="preserve">K3</w:t>
            </w:r>
          </w:p>
        </w:tc>
        <w:tc>
          <w:tcPr>
            <w:tcW w:type="dxa" w:w="5200"/>
            <w:tcMar>
              <w:top w:type="dxa" w:w="60"/>
              <w:left w:type="dxa" w:w="100"/>
              <w:bottom w:type="dxa" w:w="60"/>
              <w:right w:type="dxa" w:w="100"/>
            </w:tcMar>
          </w:tcPr>
          <w:p>
            <w:pPr>
              <w:spacing w:after="40"/>
            </w:pPr>
            <w:r>
              <w:rPr>
                <w:b w:val="false"/>
                <w:bCs w:val="false"/>
                <w:sz w:val="20"/>
                <w:szCs w:val="20"/>
              </w:rPr>
              <w:t xml:space="preserve">Recruitment v2: hiring halls + procedural candidate matrix + dossier panel; campus-menu recruiting retired; rescue-POI recruits.</w:t>
            </w:r>
          </w:p>
        </w:tc>
        <w:tc>
          <w:tcPr>
            <w:tcW w:type="dxa" w:w="3224"/>
            <w:tcMar>
              <w:top w:type="dxa" w:w="60"/>
              <w:left w:type="dxa" w:w="100"/>
              <w:bottom w:type="dxa" w:w="60"/>
              <w:right w:type="dxa" w:w="100"/>
            </w:tcMar>
          </w:tcPr>
          <w:p>
            <w:pPr>
              <w:spacing w:after="40"/>
            </w:pPr>
            <w:r>
              <w:rPr>
                <w:b w:val="false"/>
                <w:bCs w:val="false"/>
                <w:sz w:val="20"/>
                <w:szCs w:val="20"/>
              </w:rPr>
              <w:t xml:space="preserve">Hire a procedural candidate in a city; dossier readable; two same-cell candidates are visibly different people.</w:t>
            </w:r>
          </w:p>
        </w:tc>
      </w:tr>
      <w:tr>
        <w:tc>
          <w:tcPr>
            <w:tcW w:type="dxa" w:w="936"/>
            <w:tcMar>
              <w:top w:type="dxa" w:w="60"/>
              <w:left w:type="dxa" w:w="100"/>
              <w:bottom w:type="dxa" w:w="60"/>
              <w:right w:type="dxa" w:w="100"/>
            </w:tcMar>
          </w:tcPr>
          <w:p>
            <w:pPr>
              <w:spacing w:after="40"/>
            </w:pPr>
            <w:r>
              <w:rPr>
                <w:b w:val="false"/>
                <w:bCs w:val="false"/>
                <w:sz w:val="20"/>
                <w:szCs w:val="20"/>
              </w:rPr>
              <w:t xml:space="preserve">K4</w:t>
            </w:r>
          </w:p>
        </w:tc>
        <w:tc>
          <w:tcPr>
            <w:tcW w:type="dxa" w:w="5200"/>
            <w:tcMar>
              <w:top w:type="dxa" w:w="60"/>
              <w:left w:type="dxa" w:w="100"/>
              <w:bottom w:type="dxa" w:w="60"/>
              <w:right w:type="dxa" w:w="100"/>
            </w:tcMar>
          </w:tcPr>
          <w:p>
            <w:pPr>
              <w:spacing w:after="40"/>
            </w:pPr>
            <w:r>
              <w:rPr>
                <w:b w:val="false"/>
                <w:bCs w:val="false"/>
                <w:sz w:val="20"/>
                <w:szCs w:val="20"/>
              </w:rPr>
              <w:t xml:space="preserve">The unbuilt v1 content: loyalty delta hooks, Trusted perks, ArcStage signatures per v1 §2–3.</w:t>
            </w:r>
          </w:p>
        </w:tc>
        <w:tc>
          <w:tcPr>
            <w:tcW w:type="dxa" w:w="3224"/>
            <w:tcMar>
              <w:top w:type="dxa" w:w="60"/>
              <w:left w:type="dxa" w:w="100"/>
              <w:bottom w:type="dxa" w:w="60"/>
              <w:right w:type="dxa" w:w="100"/>
            </w:tcMar>
          </w:tcPr>
          <w:p>
            <w:pPr>
              <w:spacing w:after="40"/>
            </w:pPr>
            <w:r>
              <w:rPr>
                <w:b w:val="false"/>
                <w:bCs w:val="false"/>
                <w:sz w:val="20"/>
                <w:szCs w:val="20"/>
              </w:rPr>
              <w:t xml:space="preserve">v1 §3c's implementation hooks all live; a Sworn Fighter's signature stance appears in combat.</w:t>
            </w:r>
          </w:p>
        </w:tc>
      </w:tr>
      <w:tr>
        <w:tc>
          <w:tcPr>
            <w:tcW w:type="dxa" w:w="936"/>
            <w:tcMar>
              <w:top w:type="dxa" w:w="60"/>
              <w:left w:type="dxa" w:w="100"/>
              <w:bottom w:type="dxa" w:w="60"/>
              <w:right w:type="dxa" w:w="100"/>
            </w:tcMar>
          </w:tcPr>
          <w:p>
            <w:pPr>
              <w:spacing w:after="40"/>
            </w:pPr>
            <w:r>
              <w:rPr>
                <w:b w:val="false"/>
                <w:bCs w:val="false"/>
                <w:sz w:val="20"/>
                <w:szCs w:val="20"/>
              </w:rPr>
              <w:t xml:space="preserve">K5</w:t>
            </w:r>
          </w:p>
        </w:tc>
        <w:tc>
          <w:tcPr>
            <w:tcW w:type="dxa" w:w="5200"/>
            <w:tcMar>
              <w:top w:type="dxa" w:w="60"/>
              <w:left w:type="dxa" w:w="100"/>
              <w:bottom w:type="dxa" w:w="60"/>
              <w:right w:type="dxa" w:w="100"/>
            </w:tcMar>
          </w:tcPr>
          <w:p>
            <w:pPr>
              <w:spacing w:after="40"/>
            </w:pPr>
            <w:r>
              <w:rPr>
                <w:b w:val="false"/>
                <w:bCs w:val="false"/>
                <w:sz w:val="20"/>
                <w:szCs w:val="20"/>
              </w:rPr>
              <w:t xml:space="preserve">Fitness vector wired into court missions (after the CouncilVocab casing verification); remaining recruitment sources (favor retainer, Unite adept, displacement).</w:t>
            </w:r>
          </w:p>
        </w:tc>
        <w:tc>
          <w:tcPr>
            <w:tcW w:type="dxa" w:w="3224"/>
            <w:tcMar>
              <w:top w:type="dxa" w:w="60"/>
              <w:left w:type="dxa" w:w="100"/>
              <w:bottom w:type="dxa" w:w="60"/>
              <w:right w:type="dxa" w:w="100"/>
            </w:tcMar>
          </w:tcPr>
          <w:p>
            <w:pPr>
              <w:spacing w:after="40"/>
            </w:pPr>
            <w:r>
              <w:rPr>
                <w:b w:val="false"/>
                <w:bCs w:val="false"/>
                <w:sz w:val="20"/>
                <w:szCs w:val="20"/>
              </w:rPr>
              <w:t xml:space="preserve">Envoy fitness visibly moves with school/trait/loyalty; a mismatched envoy underperforms a matched one on identical missions.</w:t>
            </w:r>
          </w:p>
        </w:tc>
      </w:tr>
      <w:tr>
        <w:tc>
          <w:tcPr>
            <w:tcW w:type="dxa" w:w="936"/>
            <w:tcMar>
              <w:top w:type="dxa" w:w="60"/>
              <w:left w:type="dxa" w:w="100"/>
              <w:bottom w:type="dxa" w:w="60"/>
              <w:right w:type="dxa" w:w="100"/>
            </w:tcMar>
          </w:tcPr>
          <w:p>
            <w:pPr>
              <w:spacing w:after="40"/>
            </w:pPr>
            <w:r>
              <w:rPr>
                <w:b w:val="false"/>
                <w:bCs w:val="false"/>
                <w:sz w:val="20"/>
                <w:szCs w:val="20"/>
              </w:rPr>
              <w:t xml:space="preserve">Q1</w:t>
            </w:r>
          </w:p>
        </w:tc>
        <w:tc>
          <w:tcPr>
            <w:tcW w:type="dxa" w:w="5200"/>
            <w:tcMar>
              <w:top w:type="dxa" w:w="60"/>
              <w:left w:type="dxa" w:w="100"/>
              <w:bottom w:type="dxa" w:w="60"/>
              <w:right w:type="dxa" w:w="100"/>
            </w:tcMar>
          </w:tcPr>
          <w:p>
            <w:pPr>
              <w:spacing w:after="40"/>
            </w:pPr>
            <w:r>
              <w:rPr>
                <w:b w:val="false"/>
                <w:bCs w:val="false"/>
                <w:sz w:val="20"/>
                <w:szCs w:val="20"/>
              </w:rPr>
              <w:t xml:space="preserve">Item pipeline hygiene: registry load, Muster loadout application, stat parity at spawn.</w:t>
            </w:r>
          </w:p>
        </w:tc>
        <w:tc>
          <w:tcPr>
            <w:tcW w:type="dxa" w:w="3224"/>
            <w:tcMar>
              <w:top w:type="dxa" w:w="60"/>
              <w:left w:type="dxa" w:w="100"/>
              <w:bottom w:type="dxa" w:w="60"/>
              <w:right w:type="dxa" w:w="100"/>
            </w:tcMar>
          </w:tcPr>
          <w:p>
            <w:pPr>
              <w:spacing w:after="40"/>
            </w:pPr>
            <w:r>
              <w:rPr>
                <w:b w:val="false"/>
                <w:bCs w:val="false"/>
                <w:sz w:val="20"/>
                <w:szCs w:val="20"/>
              </w:rPr>
              <w:t xml:space="preserve">Every stat modifier on every equipped item verifiably lands on the spawned unit — the 'mostly broken' baseline fixed and asserted.</w:t>
            </w:r>
          </w:p>
        </w:tc>
      </w:tr>
      <w:tr>
        <w:tc>
          <w:tcPr>
            <w:tcW w:type="dxa" w:w="936"/>
            <w:tcMar>
              <w:top w:type="dxa" w:w="60"/>
              <w:left w:type="dxa" w:w="100"/>
              <w:bottom w:type="dxa" w:w="60"/>
              <w:right w:type="dxa" w:w="100"/>
            </w:tcMar>
          </w:tcPr>
          <w:p>
            <w:pPr>
              <w:spacing w:after="40"/>
            </w:pPr>
            <w:r>
              <w:rPr>
                <w:b w:val="false"/>
                <w:bCs w:val="false"/>
                <w:sz w:val="20"/>
                <w:szCs w:val="20"/>
              </w:rPr>
              <w:t xml:space="preserve">Q2</w:t>
            </w:r>
          </w:p>
        </w:tc>
        <w:tc>
          <w:tcPr>
            <w:tcW w:type="dxa" w:w="5200"/>
            <w:tcMar>
              <w:top w:type="dxa" w:w="60"/>
              <w:left w:type="dxa" w:w="100"/>
              <w:bottom w:type="dxa" w:w="60"/>
              <w:right w:type="dxa" w:w="100"/>
            </w:tcMar>
          </w:tcPr>
          <w:p>
            <w:pPr>
              <w:spacing w:after="40"/>
            </w:pPr>
            <w:r>
              <w:rPr>
                <w:b w:val="false"/>
                <w:bCs w:val="false"/>
                <w:sz w:val="20"/>
                <w:szCs w:val="20"/>
              </w:rPr>
              <w:t xml:space="preserve">Passive dispatch migrated to the U3 trigger bus (dep: U3).</w:t>
            </w:r>
          </w:p>
        </w:tc>
        <w:tc>
          <w:tcPr>
            <w:tcW w:type="dxa" w:w="3224"/>
            <w:tcMar>
              <w:top w:type="dxa" w:w="60"/>
              <w:left w:type="dxa" w:w="100"/>
              <w:bottom w:type="dxa" w:w="60"/>
              <w:right w:type="dxa" w:w="100"/>
            </w:tcMar>
          </w:tcPr>
          <w:p>
            <w:pPr>
              <w:spacing w:after="40"/>
            </w:pPr>
            <w:r>
              <w:rPr>
                <w:b w:val="false"/>
                <w:bCs w:val="false"/>
                <w:sz w:val="20"/>
                <w:szCs w:val="20"/>
              </w:rPr>
              <w:t xml:space="preserve">One OnAttack item, one OnSpawn item, one Aura item run through the shared handler map; procs appear in the combat log grammar.</w:t>
            </w:r>
          </w:p>
        </w:tc>
      </w:tr>
      <w:tr>
        <w:tc>
          <w:tcPr>
            <w:tcW w:type="dxa" w:w="936"/>
            <w:tcMar>
              <w:top w:type="dxa" w:w="60"/>
              <w:left w:type="dxa" w:w="100"/>
              <w:bottom w:type="dxa" w:w="60"/>
              <w:right w:type="dxa" w:w="100"/>
            </w:tcMar>
          </w:tcPr>
          <w:p>
            <w:pPr>
              <w:spacing w:after="40"/>
            </w:pPr>
            <w:r>
              <w:rPr>
                <w:b w:val="false"/>
                <w:bCs w:val="false"/>
                <w:sz w:val="20"/>
                <w:szCs w:val="20"/>
              </w:rPr>
              <w:t xml:space="preserve">Q3</w:t>
            </w:r>
          </w:p>
        </w:tc>
        <w:tc>
          <w:tcPr>
            <w:tcW w:type="dxa" w:w="5200"/>
            <w:tcMar>
              <w:top w:type="dxa" w:w="60"/>
              <w:left w:type="dxa" w:w="100"/>
              <w:bottom w:type="dxa" w:w="60"/>
              <w:right w:type="dxa" w:w="100"/>
            </w:tcMar>
          </w:tcPr>
          <w:p>
            <w:pPr>
              <w:spacing w:after="40"/>
            </w:pPr>
            <w:r>
              <w:rPr>
                <w:b w:val="false"/>
                <w:bCs w:val="false"/>
                <w:sz w:val="20"/>
                <w:szCs w:val="20"/>
              </w:rPr>
              <w:t xml:space="preserve">Overworld/court passive families + the §4b resistance package + caps.</w:t>
            </w:r>
          </w:p>
        </w:tc>
        <w:tc>
          <w:tcPr>
            <w:tcW w:type="dxa" w:w="3224"/>
            <w:tcMar>
              <w:top w:type="dxa" w:w="60"/>
              <w:left w:type="dxa" w:w="100"/>
              <w:bottom w:type="dxa" w:w="60"/>
              <w:right w:type="dxa" w:w="100"/>
            </w:tcMar>
          </w:tcPr>
          <w:p>
            <w:pPr>
              <w:spacing w:after="40"/>
            </w:pPr>
            <w:r>
              <w:rPr>
                <w:b w:val="false"/>
                <w:bCs w:val="false"/>
                <w:sz w:val="20"/>
                <w:szCs w:val="20"/>
              </w:rPr>
              <w:t xml:space="preserve">CorruptionWard measurably reduces attrition, capped at tier×2, floor 1; Pathfinder floor holds.</w:t>
            </w:r>
          </w:p>
        </w:tc>
      </w:tr>
      <w:tr>
        <w:tc>
          <w:tcPr>
            <w:tcW w:type="dxa" w:w="936"/>
            <w:tcMar>
              <w:top w:type="dxa" w:w="60"/>
              <w:left w:type="dxa" w:w="100"/>
              <w:bottom w:type="dxa" w:w="60"/>
              <w:right w:type="dxa" w:w="100"/>
            </w:tcMar>
          </w:tcPr>
          <w:p>
            <w:pPr>
              <w:spacing w:after="40"/>
            </w:pPr>
            <w:r>
              <w:rPr>
                <w:b w:val="false"/>
                <w:bCs w:val="false"/>
                <w:sz w:val="20"/>
                <w:szCs w:val="20"/>
              </w:rPr>
              <w:t xml:space="preserve">Q4</w:t>
            </w:r>
          </w:p>
        </w:tc>
        <w:tc>
          <w:tcPr>
            <w:tcW w:type="dxa" w:w="5200"/>
            <w:tcMar>
              <w:top w:type="dxa" w:w="60"/>
              <w:left w:type="dxa" w:w="100"/>
              <w:bottom w:type="dxa" w:w="60"/>
              <w:right w:type="dxa" w:w="100"/>
            </w:tcMar>
          </w:tcPr>
          <w:p>
            <w:pPr>
              <w:spacing w:after="40"/>
            </w:pPr>
            <w:r>
              <w:rPr>
                <w:b w:val="false"/>
                <w:bCs w:val="false"/>
                <w:sz w:val="20"/>
                <w:szCs w:val="20"/>
              </w:rPr>
              <w:t xml:space="preserve">Sources: city markets with standing-priced stock, favor redemptions, blighted items + Workshop Cleanse, archmage relics (8 authored).</w:t>
            </w:r>
          </w:p>
        </w:tc>
        <w:tc>
          <w:tcPr>
            <w:tcW w:type="dxa" w:w="3224"/>
            <w:tcMar>
              <w:top w:type="dxa" w:w="60"/>
              <w:left w:type="dxa" w:w="100"/>
              <w:bottom w:type="dxa" w:w="60"/>
              <w:right w:type="dxa" w:w="100"/>
            </w:tcMar>
          </w:tcPr>
          <w:p>
            <w:pPr>
              <w:spacing w:after="40"/>
            </w:pPr>
            <w:r>
              <w:rPr>
                <w:b w:val="false"/>
                <w:bCs w:val="false"/>
                <w:sz w:val="20"/>
                <w:szCs w:val="20"/>
              </w:rPr>
              <w:t xml:space="preserve">Each source produces an item end-to-end; a blighted item cleanses at Tier 3 and unseals.</w:t>
            </w:r>
          </w:p>
        </w:tc>
      </w:tr>
      <w:tr>
        <w:tc>
          <w:tcPr>
            <w:tcW w:type="dxa" w:w="936"/>
            <w:tcMar>
              <w:top w:type="dxa" w:w="60"/>
              <w:left w:type="dxa" w:w="100"/>
              <w:bottom w:type="dxa" w:w="60"/>
              <w:right w:type="dxa" w:w="100"/>
            </w:tcMar>
          </w:tcPr>
          <w:p>
            <w:pPr>
              <w:spacing w:after="40"/>
            </w:pPr>
            <w:r>
              <w:rPr>
                <w:b w:val="false"/>
                <w:bCs w:val="false"/>
                <w:sz w:val="20"/>
                <w:szCs w:val="20"/>
              </w:rPr>
              <w:t xml:space="preserve">Q5</w:t>
            </w:r>
          </w:p>
        </w:tc>
        <w:tc>
          <w:tcPr>
            <w:tcW w:type="dxa" w:w="5200"/>
            <w:tcMar>
              <w:top w:type="dxa" w:w="60"/>
              <w:left w:type="dxa" w:w="100"/>
              <w:bottom w:type="dxa" w:w="60"/>
              <w:right w:type="dxa" w:w="100"/>
            </w:tcMar>
          </w:tcPr>
          <w:p>
            <w:pPr>
              <w:spacing w:after="40"/>
            </w:pPr>
            <w:r>
              <w:rPr>
                <w:b w:val="false"/>
                <w:bCs w:val="false"/>
                <w:sz w:val="20"/>
                <w:szCs w:val="20"/>
              </w:rPr>
              <w:t xml:space="preserve">The unbuilt v1 Workshop content: enchanting tiers, signature binding module.</w:t>
            </w:r>
          </w:p>
        </w:tc>
        <w:tc>
          <w:tcPr>
            <w:tcW w:type="dxa" w:w="3224"/>
            <w:tcMar>
              <w:top w:type="dxa" w:w="60"/>
              <w:left w:type="dxa" w:w="100"/>
              <w:bottom w:type="dxa" w:w="60"/>
              <w:right w:type="dxa" w:w="100"/>
            </w:tcMar>
          </w:tcPr>
          <w:p>
            <w:pPr>
              <w:spacing w:after="40"/>
            </w:pPr>
            <w:r>
              <w:rPr>
                <w:b w:val="false"/>
                <w:bCs w:val="false"/>
                <w:sz w:val="20"/>
                <w:szCs w:val="20"/>
              </w:rPr>
              <w:t xml:space="preserve">v1 §6–7 as written.</w:t>
            </w:r>
          </w:p>
        </w:tc>
      </w:tr>
    </w:tbl>
    <w:p>
      <w:pPr>
        <w:pStyle w:val="Heading1"/>
        <w:spacing w:after="160" w:before="360"/>
      </w:pPr>
      <w:r>
        <w:t xml:space="preserve">11. Open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5408"/>
        <w:gridCol w:w="3328"/>
      </w:tblGrid>
      <w:tr>
        <w:tc>
          <w:tcPr>
            <w:tcW w:type="dxa" w:w="624"/>
            <w:shd w:fill="E8E4DA" w:val="clear"/>
            <w:tcMar>
              <w:top w:type="dxa" w:w="60"/>
              <w:left w:type="dxa" w:w="100"/>
              <w:bottom w:type="dxa" w:w="60"/>
              <w:right w:type="dxa" w:w="100"/>
            </w:tcMar>
          </w:tcPr>
          <w:p>
            <w:pPr>
              <w:spacing w:after="40"/>
            </w:pPr>
            <w:r>
              <w:rPr>
                <w:b/>
                <w:bCs/>
                <w:sz w:val="20"/>
                <w:szCs w:val="20"/>
              </w:rPr>
              <w:t xml:space="preserve">#</w:t>
            </w:r>
          </w:p>
        </w:tc>
        <w:tc>
          <w:tcPr>
            <w:tcW w:type="dxa" w:w="5408"/>
            <w:shd w:fill="E8E4DA" w:val="clear"/>
            <w:tcMar>
              <w:top w:type="dxa" w:w="60"/>
              <w:left w:type="dxa" w:w="100"/>
              <w:bottom w:type="dxa" w:w="60"/>
              <w:right w:type="dxa" w:w="100"/>
            </w:tcMar>
          </w:tcPr>
          <w:p>
            <w:pPr>
              <w:spacing w:after="40"/>
            </w:pPr>
            <w:r>
              <w:rPr>
                <w:b/>
                <w:bCs/>
                <w:sz w:val="20"/>
                <w:szCs w:val="20"/>
              </w:rPr>
              <w:t xml:space="preserve">Decision</w:t>
            </w:r>
          </w:p>
        </w:tc>
        <w:tc>
          <w:tcPr>
            <w:tcW w:type="dxa" w:w="3328"/>
            <w:shd w:fill="E8E4DA" w:val="clear"/>
            <w:tcMar>
              <w:top w:type="dxa" w:w="60"/>
              <w:left w:type="dxa" w:w="100"/>
              <w:bottom w:type="dxa" w:w="60"/>
              <w:right w:type="dxa" w:w="100"/>
            </w:tcMar>
          </w:tcPr>
          <w:p>
            <w:pPr>
              <w:spacing w:after="40"/>
            </w:pPr>
            <w:r>
              <w:rPr>
                <w:b/>
                <w:bCs/>
                <w:sz w:val="20"/>
                <w:szCs w:val="20"/>
              </w:rPr>
              <w:t xml:space="preserve">Recommendation · confidence</w:t>
            </w:r>
          </w:p>
        </w:tc>
      </w:tr>
      <w:tr>
        <w:tc>
          <w:tcPr>
            <w:tcW w:type="dxa" w:w="624"/>
            <w:tcMar>
              <w:top w:type="dxa" w:w="60"/>
              <w:left w:type="dxa" w:w="100"/>
              <w:bottom w:type="dxa" w:w="60"/>
              <w:right w:type="dxa" w:w="100"/>
            </w:tcMar>
          </w:tcPr>
          <w:p>
            <w:pPr>
              <w:spacing w:after="40"/>
            </w:pPr>
            <w:r>
              <w:rPr>
                <w:b w:val="false"/>
                <w:bCs w:val="false"/>
                <w:sz w:val="20"/>
                <w:szCs w:val="20"/>
              </w:rPr>
              <w:t xml:space="preserve">1</w:t>
            </w:r>
          </w:p>
        </w:tc>
        <w:tc>
          <w:tcPr>
            <w:tcW w:type="dxa" w:w="5408"/>
            <w:tcMar>
              <w:top w:type="dxa" w:w="60"/>
              <w:left w:type="dxa" w:w="100"/>
              <w:bottom w:type="dxa" w:w="60"/>
              <w:right w:type="dxa" w:w="100"/>
            </w:tcMar>
          </w:tcPr>
          <w:p>
            <w:pPr>
              <w:spacing w:after="40"/>
            </w:pPr>
            <w:r>
              <w:rPr>
                <w:b w:val="false"/>
                <w:bCs w:val="false"/>
                <w:sz w:val="20"/>
                <w:szCs w:val="20"/>
              </w:rPr>
              <w:t xml:space="preserve">The §4 progression package as a whole (pool formula, resistance caps, death percentages).</w:t>
            </w:r>
          </w:p>
        </w:tc>
        <w:tc>
          <w:tcPr>
            <w:tcW w:type="dxa" w:w="3328"/>
            <w:tcMar>
              <w:top w:type="dxa" w:w="60"/>
              <w:left w:type="dxa" w:w="100"/>
              <w:bottom w:type="dxa" w:w="60"/>
              <w:right w:type="dxa" w:w="100"/>
            </w:tcMar>
          </w:tcPr>
          <w:p>
            <w:pPr>
              <w:spacing w:after="40"/>
            </w:pPr>
            <w:r>
              <w:rPr>
                <w:b w:val="false"/>
                <w:bCs w:val="false"/>
                <w:sz w:val="20"/>
                <w:szCs w:val="20"/>
              </w:rPr>
              <w:t xml:space="preserve">RULED (R1): adopted. Constants remain tuning targets.</w:t>
            </w:r>
          </w:p>
        </w:tc>
      </w:tr>
      <w:tr>
        <w:tc>
          <w:tcPr>
            <w:tcW w:type="dxa" w:w="624"/>
            <w:tcMar>
              <w:top w:type="dxa" w:w="60"/>
              <w:left w:type="dxa" w:w="100"/>
              <w:bottom w:type="dxa" w:w="60"/>
              <w:right w:type="dxa" w:w="100"/>
            </w:tcMar>
          </w:tcPr>
          <w:p>
            <w:pPr>
              <w:spacing w:after="40"/>
            </w:pPr>
            <w:r>
              <w:rPr>
                <w:b w:val="false"/>
                <w:bCs w:val="false"/>
                <w:sz w:val="20"/>
                <w:szCs w:val="20"/>
              </w:rPr>
              <w:t xml:space="preserve">2</w:t>
            </w:r>
          </w:p>
        </w:tc>
        <w:tc>
          <w:tcPr>
            <w:tcW w:type="dxa" w:w="5408"/>
            <w:tcMar>
              <w:top w:type="dxa" w:w="60"/>
              <w:left w:type="dxa" w:w="100"/>
              <w:bottom w:type="dxa" w:w="60"/>
              <w:right w:type="dxa" w:w="100"/>
            </w:tcMar>
          </w:tcPr>
          <w:p>
            <w:pPr>
              <w:spacing w:after="40"/>
            </w:pPr>
            <w:r>
              <w:rPr>
                <w:b w:val="false"/>
                <w:bCs w:val="false"/>
                <w:sz w:val="20"/>
                <w:szCs w:val="20"/>
              </w:rPr>
              <w:t xml:space="preserve">Authored companions: same death rules as hirelings (as specced) vs capture-not-kill protection.</w:t>
            </w:r>
          </w:p>
        </w:tc>
        <w:tc>
          <w:tcPr>
            <w:tcW w:type="dxa" w:w="3328"/>
            <w:tcMar>
              <w:top w:type="dxa" w:w="60"/>
              <w:left w:type="dxa" w:w="100"/>
              <w:bottom w:type="dxa" w:w="60"/>
              <w:right w:type="dxa" w:w="100"/>
            </w:tcMar>
          </w:tcPr>
          <w:p>
            <w:pPr>
              <w:spacing w:after="40"/>
            </w:pPr>
            <w:r>
              <w:rPr>
                <w:b w:val="false"/>
                <w:bCs w:val="false"/>
                <w:sz w:val="20"/>
                <w:szCs w:val="20"/>
              </w:rPr>
              <w:t xml:space="preserve">RULED (R5): same rules for everyone, Sworn armor only. The capture fallback stays on the shelf, reachable only via playtest evidence of arcs dying pre-payoff.</w:t>
            </w:r>
          </w:p>
        </w:tc>
      </w:tr>
      <w:tr>
        <w:tc>
          <w:tcPr>
            <w:tcW w:type="dxa" w:w="624"/>
            <w:tcMar>
              <w:top w:type="dxa" w:w="60"/>
              <w:left w:type="dxa" w:w="100"/>
              <w:bottom w:type="dxa" w:w="60"/>
              <w:right w:type="dxa" w:w="100"/>
            </w:tcMar>
          </w:tcPr>
          <w:p>
            <w:pPr>
              <w:spacing w:after="40"/>
            </w:pPr>
            <w:r>
              <w:rPr>
                <w:b w:val="false"/>
                <w:bCs w:val="false"/>
                <w:sz w:val="20"/>
                <w:szCs w:val="20"/>
              </w:rPr>
              <w:t xml:space="preserve">3</w:t>
            </w:r>
          </w:p>
        </w:tc>
        <w:tc>
          <w:tcPr>
            <w:tcW w:type="dxa" w:w="5408"/>
            <w:tcMar>
              <w:top w:type="dxa" w:w="60"/>
              <w:left w:type="dxa" w:w="100"/>
              <w:bottom w:type="dxa" w:w="60"/>
              <w:right w:type="dxa" w:w="100"/>
            </w:tcMar>
          </w:tcPr>
          <w:p>
            <w:pPr>
              <w:spacing w:after="40"/>
            </w:pPr>
            <w:r>
              <w:rPr>
                <w:b w:val="false"/>
                <w:bCs w:val="false"/>
                <w:sz w:val="20"/>
                <w:szCs w:val="20"/>
              </w:rPr>
              <w:t xml:space="preserve">Demand ratio target (1.5–2×) and MaxPartySize growth curve.</w:t>
            </w:r>
          </w:p>
        </w:tc>
        <w:tc>
          <w:tcPr>
            <w:tcW w:type="dxa" w:w="3328"/>
            <w:tcMar>
              <w:top w:type="dxa" w:w="60"/>
              <w:left w:type="dxa" w:w="100"/>
              <w:bottom w:type="dxa" w:w="60"/>
              <w:right w:type="dxa" w:w="100"/>
            </w:tcMar>
          </w:tcPr>
          <w:p>
            <w:pPr>
              <w:spacing w:after="40"/>
            </w:pPr>
            <w:r>
              <w:rPr>
                <w:b w:val="false"/>
                <w:bCs w:val="false"/>
                <w:sz w:val="20"/>
                <w:szCs w:val="20"/>
              </w:rPr>
              <w:t xml:space="preserve">RULED (Group D): starting values adopted.</w:t>
            </w:r>
          </w:p>
        </w:tc>
      </w:tr>
      <w:tr>
        <w:tc>
          <w:tcPr>
            <w:tcW w:type="dxa" w:w="624"/>
            <w:tcMar>
              <w:top w:type="dxa" w:w="60"/>
              <w:left w:type="dxa" w:w="100"/>
              <w:bottom w:type="dxa" w:w="60"/>
              <w:right w:type="dxa" w:w="100"/>
            </w:tcMar>
          </w:tcPr>
          <w:p>
            <w:pPr>
              <w:spacing w:after="40"/>
            </w:pPr>
            <w:r>
              <w:rPr>
                <w:b w:val="false"/>
                <w:bCs w:val="false"/>
                <w:sz w:val="20"/>
                <w:szCs w:val="20"/>
              </w:rPr>
              <w:t xml:space="preserve">4</w:t>
            </w:r>
          </w:p>
        </w:tc>
        <w:tc>
          <w:tcPr>
            <w:tcW w:type="dxa" w:w="5408"/>
            <w:tcMar>
              <w:top w:type="dxa" w:w="60"/>
              <w:left w:type="dxa" w:w="100"/>
              <w:bottom w:type="dxa" w:w="60"/>
              <w:right w:type="dxa" w:w="100"/>
            </w:tcMar>
          </w:tcPr>
          <w:p>
            <w:pPr>
              <w:spacing w:after="40"/>
            </w:pPr>
            <w:r>
              <w:rPr>
                <w:b w:val="false"/>
                <w:bCs w:val="false"/>
                <w:sz w:val="20"/>
                <w:szCs w:val="20"/>
              </w:rPr>
              <w:t xml:space="preserve">Infirmary on Training Grounds tiers vs a dedicated building.</w:t>
            </w:r>
          </w:p>
        </w:tc>
        <w:tc>
          <w:tcPr>
            <w:tcW w:type="dxa" w:w="3328"/>
            <w:tcMar>
              <w:top w:type="dxa" w:w="60"/>
              <w:left w:type="dxa" w:w="100"/>
              <w:bottom w:type="dxa" w:w="60"/>
              <w:right w:type="dxa" w:w="100"/>
            </w:tcMar>
          </w:tcPr>
          <w:p>
            <w:pPr>
              <w:spacing w:after="40"/>
            </w:pPr>
            <w:r>
              <w:rPr>
                <w:b w:val="false"/>
                <w:bCs w:val="false"/>
                <w:sz w:val="20"/>
                <w:szCs w:val="20"/>
              </w:rPr>
              <w:t xml:space="preserve">RULED (R24): Training Grounds interim — with the explicit caveat that the campus rework (R6) may relocate it. The recovery MECHANIC is the commitment; the host building is not.</w:t>
            </w:r>
          </w:p>
        </w:tc>
      </w:tr>
      <w:tr>
        <w:tc>
          <w:tcPr>
            <w:tcW w:type="dxa" w:w="624"/>
            <w:tcMar>
              <w:top w:type="dxa" w:w="60"/>
              <w:left w:type="dxa" w:w="100"/>
              <w:bottom w:type="dxa" w:w="60"/>
              <w:right w:type="dxa" w:w="100"/>
            </w:tcMar>
          </w:tcPr>
          <w:p>
            <w:pPr>
              <w:spacing w:after="40"/>
            </w:pPr>
            <w:r>
              <w:rPr>
                <w:b w:val="false"/>
                <w:bCs w:val="false"/>
                <w:sz w:val="20"/>
                <w:szCs w:val="20"/>
              </w:rPr>
              <w:t xml:space="preserve">5</w:t>
            </w:r>
          </w:p>
        </w:tc>
        <w:tc>
          <w:tcPr>
            <w:tcW w:type="dxa" w:w="5408"/>
            <w:tcMar>
              <w:top w:type="dxa" w:w="60"/>
              <w:left w:type="dxa" w:w="100"/>
              <w:bottom w:type="dxa" w:w="60"/>
              <w:right w:type="dxa" w:w="100"/>
            </w:tcMar>
          </w:tcPr>
          <w:p>
            <w:pPr>
              <w:spacing w:after="40"/>
            </w:pPr>
            <w:r>
              <w:rPr>
                <w:b w:val="false"/>
                <w:bCs w:val="false"/>
                <w:sz w:val="20"/>
                <w:szCs w:val="20"/>
              </w:rPr>
              <w:t xml:space="preserve">Blighted Cleanse at Workshop Tier 3 (with reroll) vs Tier 2.</w:t>
            </w:r>
          </w:p>
        </w:tc>
        <w:tc>
          <w:tcPr>
            <w:tcW w:type="dxa" w:w="3328"/>
            <w:tcMar>
              <w:top w:type="dxa" w:w="60"/>
              <w:left w:type="dxa" w:w="100"/>
              <w:bottom w:type="dxa" w:w="60"/>
              <w:right w:type="dxa" w:w="100"/>
            </w:tcMar>
          </w:tcPr>
          <w:p>
            <w:pPr>
              <w:spacing w:after="40"/>
            </w:pPr>
            <w:r>
              <w:rPr>
                <w:b w:val="false"/>
                <w:bCs w:val="false"/>
                <w:sz w:val="20"/>
                <w:szCs w:val="20"/>
              </w:rPr>
              <w:t xml:space="preserve">RULED (R23): Tier 3.</w:t>
            </w:r>
          </w:p>
        </w:tc>
      </w:tr>
      <w:tr>
        <w:tc>
          <w:tcPr>
            <w:tcW w:type="dxa" w:w="624"/>
            <w:tcMar>
              <w:top w:type="dxa" w:w="60"/>
              <w:left w:type="dxa" w:w="100"/>
              <w:bottom w:type="dxa" w:w="60"/>
              <w:right w:type="dxa" w:w="100"/>
            </w:tcMar>
          </w:tcPr>
          <w:p>
            <w:pPr>
              <w:spacing w:after="40"/>
            </w:pPr>
            <w:r>
              <w:rPr>
                <w:b w:val="false"/>
                <w:bCs w:val="false"/>
                <w:sz w:val="20"/>
                <w:szCs w:val="20"/>
              </w:rPr>
              <w:t xml:space="preserve">6</w:t>
            </w:r>
          </w:p>
        </w:tc>
        <w:tc>
          <w:tcPr>
            <w:tcW w:type="dxa" w:w="5408"/>
            <w:tcMar>
              <w:top w:type="dxa" w:w="60"/>
              <w:left w:type="dxa" w:w="100"/>
              <w:bottom w:type="dxa" w:w="60"/>
              <w:right w:type="dxa" w:w="100"/>
            </w:tcMar>
          </w:tcPr>
          <w:p>
            <w:pPr>
              <w:spacing w:after="40"/>
            </w:pPr>
            <w:r>
              <w:rPr>
                <w:b w:val="false"/>
                <w:bCs w:val="false"/>
                <w:sz w:val="20"/>
                <w:szCs w:val="20"/>
              </w:rPr>
              <w:t xml:space="preserve">Gift of Standing class of effects (items that work while dispatched) — expand or keep to one?</w:t>
            </w:r>
          </w:p>
        </w:tc>
        <w:tc>
          <w:tcPr>
            <w:tcW w:type="dxa" w:w="3328"/>
            <w:tcMar>
              <w:top w:type="dxa" w:w="60"/>
              <w:left w:type="dxa" w:w="100"/>
              <w:bottom w:type="dxa" w:w="60"/>
              <w:right w:type="dxa" w:w="100"/>
            </w:tcMar>
          </w:tcPr>
          <w:p>
            <w:pPr>
              <w:spacing w:after="40"/>
            </w:pPr>
            <w:r>
              <w:rPr>
                <w:b w:val="false"/>
                <w:bCs w:val="false"/>
                <w:sz w:val="20"/>
                <w:szCs w:val="20"/>
              </w:rPr>
              <w:t xml:space="preserve">RULED (Group D): capped at 1–2.</w:t>
            </w:r>
          </w:p>
        </w:tc>
      </w:tr>
      <w:tr>
        <w:tc>
          <w:tcPr>
            <w:tcW w:type="dxa" w:w="624"/>
            <w:tcMar>
              <w:top w:type="dxa" w:w="60"/>
              <w:left w:type="dxa" w:w="100"/>
              <w:bottom w:type="dxa" w:w="60"/>
              <w:right w:type="dxa" w:w="100"/>
            </w:tcMar>
          </w:tcPr>
          <w:p>
            <w:pPr>
              <w:spacing w:after="40"/>
            </w:pPr>
            <w:r>
              <w:rPr>
                <w:b w:val="false"/>
                <w:bCs w:val="false"/>
                <w:sz w:val="20"/>
                <w:szCs w:val="20"/>
              </w:rPr>
              <w:t xml:space="preserve">7</w:t>
            </w:r>
          </w:p>
        </w:tc>
        <w:tc>
          <w:tcPr>
            <w:tcW w:type="dxa" w:w="5408"/>
            <w:tcMar>
              <w:top w:type="dxa" w:w="60"/>
              <w:left w:type="dxa" w:w="100"/>
              <w:bottom w:type="dxa" w:w="60"/>
              <w:right w:type="dxa" w:w="100"/>
            </w:tcMar>
          </w:tcPr>
          <w:p>
            <w:pPr>
              <w:spacing w:after="40"/>
            </w:pPr>
            <w:r>
              <w:rPr>
                <w:b w:val="false"/>
                <w:bCs w:val="false"/>
                <w:sz w:val="20"/>
                <w:szCs w:val="20"/>
              </w:rPr>
              <w:t xml:space="preserve">Archetype-matchup fitness values.</w:t>
            </w:r>
          </w:p>
        </w:tc>
        <w:tc>
          <w:tcPr>
            <w:tcW w:type="dxa" w:w="3328"/>
            <w:tcMar>
              <w:top w:type="dxa" w:w="60"/>
              <w:left w:type="dxa" w:w="100"/>
              <w:bottom w:type="dxa" w:w="60"/>
              <w:right w:type="dxa" w:w="100"/>
            </w:tcMar>
          </w:tcPr>
          <w:p>
            <w:pPr>
              <w:spacing w:after="40"/>
            </w:pPr>
            <w:r>
              <w:rPr>
                <w:b w:val="false"/>
                <w:bCs w:val="false"/>
                <w:sz w:val="20"/>
                <w:szCs w:val="20"/>
              </w:rPr>
              <w:t xml:space="preserve">Blocked on the standing CouncilVocab casing verification; fill the table after. Unknown until verified.</w:t>
            </w:r>
          </w:p>
        </w:tc>
      </w:tr>
      <w:tr>
        <w:tc>
          <w:tcPr>
            <w:tcW w:type="dxa" w:w="624"/>
            <w:tcMar>
              <w:top w:type="dxa" w:w="60"/>
              <w:left w:type="dxa" w:w="100"/>
              <w:bottom w:type="dxa" w:w="60"/>
              <w:right w:type="dxa" w:w="100"/>
            </w:tcMar>
          </w:tcPr>
          <w:p>
            <w:pPr>
              <w:spacing w:after="40"/>
            </w:pPr>
            <w:r>
              <w:rPr>
                <w:b w:val="false"/>
                <w:bCs w:val="false"/>
                <w:sz w:val="20"/>
                <w:szCs w:val="20"/>
              </w:rPr>
              <w:t xml:space="preserve">8</w:t>
            </w:r>
          </w:p>
        </w:tc>
        <w:tc>
          <w:tcPr>
            <w:tcW w:type="dxa" w:w="5408"/>
            <w:tcMar>
              <w:top w:type="dxa" w:w="60"/>
              <w:left w:type="dxa" w:w="100"/>
              <w:bottom w:type="dxa" w:w="60"/>
              <w:right w:type="dxa" w:w="100"/>
            </w:tcMar>
          </w:tcPr>
          <w:p>
            <w:pPr>
              <w:spacing w:after="40"/>
            </w:pPr>
            <w:r>
              <w:rPr>
                <w:b w:val="false"/>
                <w:bCs w:val="false"/>
                <w:sz w:val="20"/>
                <w:szCs w:val="20"/>
              </w:rPr>
              <w:t xml:space="preserve">Hiring-in-territory as a positive deed — include or too fiddly?</w:t>
            </w:r>
          </w:p>
        </w:tc>
        <w:tc>
          <w:tcPr>
            <w:tcW w:type="dxa" w:w="3328"/>
            <w:tcMar>
              <w:top w:type="dxa" w:w="60"/>
              <w:left w:type="dxa" w:w="100"/>
              <w:bottom w:type="dxa" w:w="60"/>
              <w:right w:type="dxa" w:w="100"/>
            </w:tcMar>
          </w:tcPr>
          <w:p>
            <w:pPr>
              <w:spacing w:after="40"/>
            </w:pPr>
            <w:r>
              <w:rPr>
                <w:b w:val="false"/>
                <w:bCs w:val="false"/>
                <w:sz w:val="20"/>
                <w:szCs w:val="20"/>
              </w:rPr>
              <w:t xml:space="preserve">RULED (R25): included at Minor.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2E2A24"/>
      <w:sz w:val="32"/>
      <w:szCs w:val="32"/>
    </w:rPr>
  </w:style>
  <w:style w:type="paragraph" w:styleId="Heading2">
    <w:name w:val="Heading 2"/>
    <w:basedOn w:val="Normal"/>
    <w:next w:val="Normal"/>
    <w:qFormat/>
    <w:rPr>
      <w:b/>
      <w:bCs/>
      <w:color w:val="3E382F"/>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2026-07-04T03:17:32.423Z</dcterms:created>
  <dcterms:modified xsi:type="dcterms:W3CDTF">2026-07-04T03:17:32.424Z</dcterms:modified>
</cp:coreProperties>
</file>

<file path=docProps/custom.xml><?xml version="1.0" encoding="utf-8"?>
<Properties xmlns="http://schemas.openxmlformats.org/officeDocument/2006/custom-properties" xmlns:vt="http://schemas.openxmlformats.org/officeDocument/2006/docPropsVTypes"/>
</file>