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52"/>
          <w:szCs w:val="52"/>
        </w:rPr>
        <w:t xml:space="preserve">Combat UI — v2.1</w:t>
      </w:r>
    </w:p>
    <w:p>
      <w:pPr>
        <w:spacing w:after="120"/>
      </w:pPr>
      <w:r>
        <w:rPr>
          <w:i/>
          <w:iCs/>
        </w:rPr>
        <w:t xml:space="preserve">Fractured Arcana · combat HUD redesign · consumes the requirements contract in archmage_unique_units_v1.2 §11 and the context payload in combat_environments_v1.1 §8</w:t>
      </w:r>
    </w:p>
    <w:p>
      <w:pPr>
        <w:spacing w:after="120"/>
      </w:pPr>
      <w:r>
        <w:rPr>
          <w:b/>
          <w:bCs/>
          <w:i w:val="false"/>
          <w:iCs w:val="false"/>
        </w:rPr>
        <w:t xml:space="preserve">v2.1 — ballot rulings incorporated 2026-07-03: </w:t>
      </w:r>
      <w:r>
        <w:rPr>
          <w:b w:val="false"/>
          <w:bCs w:val="false"/>
          <w:i w:val="false"/>
          <w:iCs w:val="false"/>
        </w:rPr>
        <w:t xml:space="preserve">stack panel added under R3 (§7c); damage preview adopted under R22 with the real-resolver simulation architecture, against the original deferral (position recorded); threat-range overlay and the resolution ruling adopted (R20/R21); V4 reshaped around the R11 settlement deferral; Group D values locked.</w:t>
      </w:r>
    </w:p>
    <w:p>
      <w:pPr>
        <w:pStyle w:val="Heading1"/>
        <w:spacing w:after="160" w:before="360"/>
      </w:pPr>
      <w:r>
        <w:t xml:space="preserve">1. Purpose &amp; Framing</w:t>
      </w:r>
    </w:p>
    <w:p>
      <w:pPr>
        <w:spacing w:after="120"/>
      </w:pPr>
      <w:r>
        <w:rPr>
          <w:b/>
          <w:bCs/>
          <w:i w:val="false"/>
          <w:iCs w:val="false"/>
        </w:rPr>
        <w:t xml:space="preserve">This is a data-binding redesign wearing a layout redesign's clothes. </w:t>
      </w:r>
      <w:r>
        <w:rPr>
          <w:b w:val="false"/>
          <w:bCs w:val="false"/>
          <w:i w:val="false"/>
          <w:iCs w:val="false"/>
        </w:rPr>
        <w:t xml:space="preserve">The current HUD is competent for what it was built against: five generic archetypes with no abilities, no roles, and no factions. Unique units break it not visually but informationally — Deathburst, Redaction Field, and a mimic's rotation are invisible in a roster that shows name + HP bar. Most of v2's work is binding the HUD to UnitDefinition data (Role, ThreatLabel, Abilities, ability state, FactionId) and to WorldCombatContext (kingdom, settlement, corruption). The layout changes exist to make room for that information, not for their own sake.</w:t>
      </w:r>
    </w:p>
    <w:p>
      <w:pPr>
        <w:pStyle w:val="Heading1"/>
        <w:spacing w:after="160" w:before="360"/>
      </w:pPr>
      <w:r>
        <w:t xml:space="preserve">2. Current State — What Exists and What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6864"/>
      </w:tblGrid>
      <w:tr>
        <w:tc>
          <w:tcPr>
            <w:tcW w:type="dxa" w:w="2496"/>
            <w:shd w:fill="E8E4DA" w:val="clear"/>
            <w:tcMar>
              <w:top w:type="dxa" w:w="60"/>
              <w:left w:type="dxa" w:w="100"/>
              <w:bottom w:type="dxa" w:w="60"/>
              <w:right w:type="dxa" w:w="100"/>
            </w:tcMar>
          </w:tcPr>
          <w:p>
            <w:pPr>
              <w:spacing w:after="40"/>
            </w:pPr>
            <w:r>
              <w:rPr>
                <w:b/>
                <w:bCs/>
                <w:sz w:val="20"/>
                <w:szCs w:val="20"/>
              </w:rPr>
              <w:t xml:space="preserve">Existing element</w:t>
            </w:r>
          </w:p>
        </w:tc>
        <w:tc>
          <w:tcPr>
            <w:tcW w:type="dxa" w:w="6864"/>
            <w:shd w:fill="E8E4DA" w:val="clear"/>
            <w:tcMar>
              <w:top w:type="dxa" w:w="60"/>
              <w:left w:type="dxa" w:w="100"/>
              <w:bottom w:type="dxa" w:w="60"/>
              <w:right w:type="dxa" w:w="100"/>
            </w:tcMar>
          </w:tcPr>
          <w:p>
            <w:pPr>
              <w:spacing w:after="40"/>
            </w:pPr>
            <w:r>
              <w:rPr>
                <w:b/>
                <w:bCs/>
                <w:sz w:val="20"/>
                <w:szCs w:val="20"/>
              </w:rPr>
              <w:t xml:space="preserve">Verdict under unique units</w:t>
            </w:r>
          </w:p>
        </w:tc>
      </w:tr>
      <w:tr>
        <w:tc>
          <w:tcPr>
            <w:tcW w:type="dxa" w:w="2496"/>
            <w:tcMar>
              <w:top w:type="dxa" w:w="60"/>
              <w:left w:type="dxa" w:w="100"/>
              <w:bottom w:type="dxa" w:w="60"/>
              <w:right w:type="dxa" w:w="100"/>
            </w:tcMar>
          </w:tcPr>
          <w:p>
            <w:pPr>
              <w:spacing w:after="40"/>
            </w:pPr>
            <w:r>
              <w:rPr>
                <w:b w:val="false"/>
                <w:bCs w:val="false"/>
                <w:sz w:val="20"/>
                <w:szCs w:val="20"/>
              </w:rPr>
              <w:t xml:space="preserve">Left panel: phase label, selected-unit name, HP/MP bars, ARM/AP/SPD, status icons, action LOG, party chips, deck/grave counters, End Turn — all in one vbox</w:t>
            </w:r>
          </w:p>
        </w:tc>
        <w:tc>
          <w:tcPr>
            <w:tcW w:type="dxa" w:w="6864"/>
            <w:tcMar>
              <w:top w:type="dxa" w:w="60"/>
              <w:left w:type="dxa" w:w="100"/>
              <w:bottom w:type="dxa" w:w="60"/>
              <w:right w:type="dxa" w:w="100"/>
            </w:tcMar>
          </w:tcPr>
          <w:p>
            <w:pPr>
              <w:spacing w:after="40"/>
            </w:pPr>
            <w:r>
              <w:rPr>
                <w:b w:val="false"/>
                <w:bCs w:val="false"/>
                <w:sz w:val="20"/>
                <w:szCs w:val="20"/>
              </w:rPr>
              <w:t xml:space="preserve">Overloaded. The log competes with unit stats for the same column; End Turn is buried in a side panel. Structure survives; contents redistribute (§5).</w:t>
            </w:r>
          </w:p>
        </w:tc>
      </w:tr>
      <w:tr>
        <w:tc>
          <w:tcPr>
            <w:tcW w:type="dxa" w:w="2496"/>
            <w:tcMar>
              <w:top w:type="dxa" w:w="60"/>
              <w:left w:type="dxa" w:w="100"/>
              <w:bottom w:type="dxa" w:w="60"/>
              <w:right w:type="dxa" w:w="100"/>
            </w:tcMar>
          </w:tcPr>
          <w:p>
            <w:pPr>
              <w:spacing w:after="40"/>
            </w:pPr>
            <w:r>
              <w:rPr>
                <w:b w:val="false"/>
                <w:bCs w:val="false"/>
                <w:sz w:val="20"/>
                <w:szCs w:val="20"/>
              </w:rPr>
              <w:t xml:space="preserve">Right panel: enemy roster — name + HP bar per enemy</w:t>
            </w:r>
          </w:p>
        </w:tc>
        <w:tc>
          <w:tcPr>
            <w:tcW w:type="dxa" w:w="6864"/>
            <w:tcMar>
              <w:top w:type="dxa" w:w="60"/>
              <w:left w:type="dxa" w:w="100"/>
              <w:bottom w:type="dxa" w:w="60"/>
              <w:right w:type="dxa" w:w="100"/>
            </w:tcMar>
          </w:tcPr>
          <w:p>
            <w:pPr>
              <w:spacing w:after="40"/>
            </w:pPr>
            <w:r>
              <w:rPr>
                <w:b w:val="false"/>
                <w:bCs w:val="false"/>
                <w:sz w:val="20"/>
                <w:szCs w:val="20"/>
              </w:rPr>
              <w:t xml:space="preserve">Informationally broken under unique units. No role, no ability, no state, no faction. Full rebuild (§6).</w:t>
            </w:r>
          </w:p>
        </w:tc>
      </w:tr>
      <w:tr>
        <w:tc>
          <w:tcPr>
            <w:tcW w:type="dxa" w:w="2496"/>
            <w:tcMar>
              <w:top w:type="dxa" w:w="60"/>
              <w:left w:type="dxa" w:w="100"/>
              <w:bottom w:type="dxa" w:w="60"/>
              <w:right w:type="dxa" w:w="100"/>
            </w:tcMar>
          </w:tcPr>
          <w:p>
            <w:pPr>
              <w:spacing w:after="40"/>
            </w:pPr>
            <w:r>
              <w:rPr>
                <w:b w:val="false"/>
                <w:bCs w:val="false"/>
                <w:sz w:val="20"/>
                <w:szCs w:val="20"/>
              </w:rPr>
              <w:t xml:space="preserve">Inspect routing: clicking an enemy shows it in the left panel (unitToShow = selectedUnit ?? inspectedEnemyUnit)</w:t>
            </w:r>
          </w:p>
        </w:tc>
        <w:tc>
          <w:tcPr>
            <w:tcW w:type="dxa" w:w="6864"/>
            <w:tcMar>
              <w:top w:type="dxa" w:w="60"/>
              <w:left w:type="dxa" w:w="100"/>
              <w:bottom w:type="dxa" w:w="60"/>
              <w:right w:type="dxa" w:w="100"/>
            </w:tcMar>
          </w:tcPr>
          <w:p>
            <w:pPr>
              <w:spacing w:after="40"/>
            </w:pPr>
            <w:r>
              <w:rPr>
                <w:b w:val="false"/>
                <w:bCs w:val="false"/>
                <w:sz w:val="20"/>
                <w:szCs w:val="20"/>
              </w:rPr>
              <w:t xml:space="preserve">Good bones — v2 extends this panel with behavior/ability text rather than inventing a new inspect surface (§7).</w:t>
            </w:r>
          </w:p>
        </w:tc>
      </w:tr>
      <w:tr>
        <w:tc>
          <w:tcPr>
            <w:tcW w:type="dxa" w:w="2496"/>
            <w:tcMar>
              <w:top w:type="dxa" w:w="60"/>
              <w:left w:type="dxa" w:w="100"/>
              <w:bottom w:type="dxa" w:w="60"/>
              <w:right w:type="dxa" w:w="100"/>
            </w:tcMar>
          </w:tcPr>
          <w:p>
            <w:pPr>
              <w:spacing w:after="40"/>
            </w:pPr>
            <w:r>
              <w:rPr>
                <w:b w:val="false"/>
                <w:bCs w:val="false"/>
                <w:sz w:val="20"/>
                <w:szCs w:val="20"/>
              </w:rPr>
              <w:t xml:space="preserve">Deployment: button morphs to Confirm Deployment; ShowEnemyIntel rows during placement</w:t>
            </w:r>
          </w:p>
        </w:tc>
        <w:tc>
          <w:tcPr>
            <w:tcW w:type="dxa" w:w="6864"/>
            <w:tcMar>
              <w:top w:type="dxa" w:w="60"/>
              <w:left w:type="dxa" w:w="100"/>
              <w:bottom w:type="dxa" w:w="60"/>
              <w:right w:type="dxa" w:w="100"/>
            </w:tcMar>
          </w:tcPr>
          <w:p>
            <w:pPr>
              <w:spacing w:after="40"/>
            </w:pPr>
            <w:r>
              <w:rPr>
                <w:b w:val="false"/>
                <w:bCs w:val="false"/>
                <w:sz w:val="20"/>
                <w:szCs w:val="20"/>
              </w:rPr>
              <w:t xml:space="preserve">Keep both. Intel rows upgrade to unique names + telegraphs (§11).</w:t>
            </w:r>
          </w:p>
        </w:tc>
      </w:tr>
      <w:tr>
        <w:tc>
          <w:tcPr>
            <w:tcW w:type="dxa" w:w="2496"/>
            <w:tcMar>
              <w:top w:type="dxa" w:w="60"/>
              <w:left w:type="dxa" w:w="100"/>
              <w:bottom w:type="dxa" w:w="60"/>
              <w:right w:type="dxa" w:w="100"/>
            </w:tcMar>
          </w:tcPr>
          <w:p>
            <w:pPr>
              <w:spacing w:after="40"/>
            </w:pPr>
            <w:r>
              <w:rPr>
                <w:b w:val="false"/>
                <w:bCs w:val="false"/>
                <w:sz w:val="20"/>
                <w:szCs w:val="20"/>
              </w:rPr>
              <w:t xml:space="preserve">Attunement: SchoolAttunementUI embeds via combatUI.AttunementSection (UseExternalContainer)</w:t>
            </w:r>
          </w:p>
        </w:tc>
        <w:tc>
          <w:tcPr>
            <w:tcW w:type="dxa" w:w="6864"/>
            <w:tcMar>
              <w:top w:type="dxa" w:w="60"/>
              <w:left w:type="dxa" w:w="100"/>
              <w:bottom w:type="dxa" w:w="60"/>
              <w:right w:type="dxa" w:w="100"/>
            </w:tcMar>
          </w:tcPr>
          <w:p>
            <w:pPr>
              <w:spacing w:after="40"/>
            </w:pPr>
            <w:r>
              <w:rPr>
                <w:b w:val="false"/>
                <w:bCs w:val="false"/>
                <w:sz w:val="20"/>
                <w:szCs w:val="20"/>
              </w:rPr>
              <w:t xml:space="preserve">Keep the wiring pattern untouched; the dock just moves with the left panel.</w:t>
            </w:r>
          </w:p>
        </w:tc>
      </w:tr>
      <w:tr>
        <w:tc>
          <w:tcPr>
            <w:tcW w:type="dxa" w:w="2496"/>
            <w:tcMar>
              <w:top w:type="dxa" w:w="60"/>
              <w:left w:type="dxa" w:w="100"/>
              <w:bottom w:type="dxa" w:w="60"/>
              <w:right w:type="dxa" w:w="100"/>
            </w:tcMar>
          </w:tcPr>
          <w:p>
            <w:pPr>
              <w:spacing w:after="40"/>
            </w:pPr>
            <w:r>
              <w:rPr>
                <w:b w:val="false"/>
                <w:bCs w:val="false"/>
                <w:sz w:val="20"/>
                <w:szCs w:val="20"/>
              </w:rPr>
              <w:t xml:space="preserve">Pending-state pattern (_pendingUnit / _pendingIntel / _deploymentModePending applied after BuildUI)</w:t>
            </w:r>
          </w:p>
        </w:tc>
        <w:tc>
          <w:tcPr>
            <w:tcW w:type="dxa" w:w="6864"/>
            <w:tcMar>
              <w:top w:type="dxa" w:w="60"/>
              <w:left w:type="dxa" w:w="100"/>
              <w:bottom w:type="dxa" w:w="60"/>
              <w:right w:type="dxa" w:w="100"/>
            </w:tcMar>
          </w:tcPr>
          <w:p>
            <w:pPr>
              <w:spacing w:after="40"/>
            </w:pPr>
            <w:r>
              <w:rPr>
                <w:b w:val="false"/>
                <w:bCs w:val="false"/>
                <w:sz w:val="20"/>
                <w:szCs w:val="20"/>
              </w:rPr>
              <w:t xml:space="preserve">Mandatory to preserve — it is what makes the CallDeferred build rule survivable. Every new v2 element that can receive data before build must join this pattern.</w:t>
            </w:r>
          </w:p>
        </w:tc>
      </w:tr>
      <w:tr>
        <w:tc>
          <w:tcPr>
            <w:tcW w:type="dxa" w:w="2496"/>
            <w:tcMar>
              <w:top w:type="dxa" w:w="60"/>
              <w:left w:type="dxa" w:w="100"/>
              <w:bottom w:type="dxa" w:w="60"/>
              <w:right w:type="dxa" w:w="100"/>
            </w:tcMar>
          </w:tcPr>
          <w:p>
            <w:pPr>
              <w:spacing w:after="40"/>
            </w:pPr>
            <w:r>
              <w:rPr>
                <w:b w:val="false"/>
                <w:bCs w:val="false"/>
                <w:sz w:val="20"/>
                <w:szCs w:val="20"/>
              </w:rPr>
              <w:t xml:space="preserve">DeckUiManager hand bounds as screen-fraction exports</w:t>
            </w:r>
          </w:p>
        </w:tc>
        <w:tc>
          <w:tcPr>
            <w:tcW w:type="dxa" w:w="6864"/>
            <w:tcMar>
              <w:top w:type="dxa" w:w="60"/>
              <w:left w:type="dxa" w:w="100"/>
              <w:bottom w:type="dxa" w:w="60"/>
              <w:right w:type="dxa" w:w="100"/>
            </w:tcMar>
          </w:tcPr>
          <w:p>
            <w:pPr>
              <w:spacing w:after="40"/>
            </w:pPr>
            <w:r>
              <w:rPr>
                <w:b w:val="false"/>
                <w:bCs w:val="false"/>
                <w:sz w:val="20"/>
                <w:szCs w:val="20"/>
              </w:rPr>
              <w:t xml:space="preserve">This is where the known GetViewport().GetVisibleRect() trap lives. Killed by the §4 resolution ruling.</w:t>
            </w:r>
          </w:p>
        </w:tc>
      </w:tr>
    </w:tbl>
    <w:p>
      <w:pPr>
        <w:pStyle w:val="Heading1"/>
        <w:spacing w:after="160" w:before="360"/>
      </w:pPr>
      <w:r>
        <w:t xml:space="preserve">3.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8736"/>
      </w:tblGrid>
      <w:tr>
        <w:tc>
          <w:tcPr>
            <w:tcW w:type="dxa" w:w="624"/>
            <w:shd w:fill="E8E4DA" w:val="clear"/>
            <w:tcMar>
              <w:top w:type="dxa" w:w="60"/>
              <w:left w:type="dxa" w:w="100"/>
              <w:bottom w:type="dxa" w:w="60"/>
              <w:right w:type="dxa" w:w="100"/>
            </w:tcMar>
          </w:tcPr>
          <w:p>
            <w:pPr>
              <w:spacing w:after="40"/>
            </w:pPr>
            <w:r>
              <w:rPr>
                <w:b/>
                <w:bCs/>
                <w:sz w:val="20"/>
                <w:szCs w:val="20"/>
              </w:rPr>
              <w:t xml:space="preserve">#</w:t>
            </w:r>
          </w:p>
        </w:tc>
        <w:tc>
          <w:tcPr>
            <w:tcW w:type="dxa" w:w="8736"/>
            <w:shd w:fill="E8E4DA" w:val="clear"/>
            <w:tcMar>
              <w:top w:type="dxa" w:w="60"/>
              <w:left w:type="dxa" w:w="100"/>
              <w:bottom w:type="dxa" w:w="60"/>
              <w:right w:type="dxa" w:w="100"/>
            </w:tcMar>
          </w:tcPr>
          <w:p>
            <w:pPr>
              <w:spacing w:after="40"/>
            </w:pPr>
            <w:r>
              <w:rPr>
                <w:b/>
                <w:bCs/>
                <w:sz w:val="20"/>
                <w:szCs w:val="20"/>
              </w:rPr>
              <w:t xml:space="preserve">Principle</w:t>
            </w:r>
          </w:p>
        </w:tc>
      </w:tr>
      <w:tr>
        <w:tc>
          <w:tcPr>
            <w:tcW w:type="dxa" w:w="624"/>
            <w:tcMar>
              <w:top w:type="dxa" w:w="60"/>
              <w:left w:type="dxa" w:w="100"/>
              <w:bottom w:type="dxa" w:w="60"/>
              <w:right w:type="dxa" w:w="100"/>
            </w:tcMar>
          </w:tcPr>
          <w:p>
            <w:pPr>
              <w:spacing w:after="40"/>
            </w:pPr>
            <w:r>
              <w:rPr>
                <w:b w:val="false"/>
                <w:bCs w:val="false"/>
                <w:sz w:val="20"/>
                <w:szCs w:val="20"/>
              </w:rPr>
              <w:t xml:space="preserve">P1</w:t>
            </w:r>
          </w:p>
        </w:tc>
        <w:tc>
          <w:tcPr>
            <w:tcW w:type="dxa" w:w="8736"/>
            <w:tcMar>
              <w:top w:type="dxa" w:w="60"/>
              <w:left w:type="dxa" w:w="100"/>
              <w:bottom w:type="dxa" w:w="60"/>
              <w:right w:type="dxa" w:w="100"/>
            </w:tcMar>
          </w:tcPr>
          <w:p>
            <w:pPr>
              <w:spacing w:after="40"/>
            </w:pPr>
            <w:r>
              <w:rPr>
                <w:b w:val="false"/>
                <w:bCs w:val="false"/>
                <w:sz w:val="20"/>
                <w:szCs w:val="20"/>
              </w:rPr>
              <w:t xml:space="preserve">The legibility ladder: silhouette (scale + faction tint) → roster row (role, name, HP, ability icon, state) → hover (threat range + aura extent on the grid) → inspect (full text in the left panel). Line units must be fully readable at the roster rung; only elites should require hover; nothing should ever require external documentation.</w:t>
            </w:r>
          </w:p>
        </w:tc>
      </w:tr>
      <w:tr>
        <w:tc>
          <w:tcPr>
            <w:tcW w:type="dxa" w:w="624"/>
            <w:tcMar>
              <w:top w:type="dxa" w:w="60"/>
              <w:left w:type="dxa" w:w="100"/>
              <w:bottom w:type="dxa" w:w="60"/>
              <w:right w:type="dxa" w:w="100"/>
            </w:tcMar>
          </w:tcPr>
          <w:p>
            <w:pPr>
              <w:spacing w:after="40"/>
            </w:pPr>
            <w:r>
              <w:rPr>
                <w:b w:val="false"/>
                <w:bCs w:val="false"/>
                <w:sz w:val="20"/>
                <w:szCs w:val="20"/>
              </w:rPr>
              <w:t xml:space="preserve">P2</w:t>
            </w:r>
          </w:p>
        </w:tc>
        <w:tc>
          <w:tcPr>
            <w:tcW w:type="dxa" w:w="8736"/>
            <w:tcMar>
              <w:top w:type="dxa" w:w="60"/>
              <w:left w:type="dxa" w:w="100"/>
              <w:bottom w:type="dxa" w:w="60"/>
              <w:right w:type="dxa" w:w="100"/>
            </w:tcMar>
          </w:tcPr>
          <w:p>
            <w:pPr>
              <w:spacing w:after="40"/>
            </w:pPr>
            <w:r>
              <w:rPr>
                <w:b w:val="false"/>
                <w:bCs w:val="false"/>
                <w:sz w:val="20"/>
                <w:szCs w:val="20"/>
              </w:rPr>
              <w:t xml:space="preserve">State the enemy's rules, don't solve the enemy's turn. Behavior keys and tags ARE the intent system — 'holds position until you close' is a telegraph. The UI exposes rules and reach, never the AI's exact next move (§7a ruling).</w:t>
            </w:r>
          </w:p>
        </w:tc>
      </w:tr>
      <w:tr>
        <w:tc>
          <w:tcPr>
            <w:tcW w:type="dxa" w:w="624"/>
            <w:tcMar>
              <w:top w:type="dxa" w:w="60"/>
              <w:left w:type="dxa" w:w="100"/>
              <w:bottom w:type="dxa" w:w="60"/>
              <w:right w:type="dxa" w:w="100"/>
            </w:tcMar>
          </w:tcPr>
          <w:p>
            <w:pPr>
              <w:spacing w:after="40"/>
            </w:pPr>
            <w:r>
              <w:rPr>
                <w:b w:val="false"/>
                <w:bCs w:val="false"/>
                <w:sz w:val="20"/>
                <w:szCs w:val="20"/>
              </w:rPr>
              <w:t xml:space="preserve">P3</w:t>
            </w:r>
          </w:p>
        </w:tc>
        <w:tc>
          <w:tcPr>
            <w:tcW w:type="dxa" w:w="8736"/>
            <w:tcMar>
              <w:top w:type="dxa" w:w="60"/>
              <w:left w:type="dxa" w:w="100"/>
              <w:bottom w:type="dxa" w:w="60"/>
              <w:right w:type="dxa" w:w="100"/>
            </w:tcMar>
          </w:tcPr>
          <w:p>
            <w:pPr>
              <w:spacing w:after="40"/>
            </w:pPr>
            <w:r>
              <w:rPr>
                <w:b w:val="false"/>
                <w:bCs w:val="false"/>
                <w:sz w:val="20"/>
                <w:szCs w:val="20"/>
              </w:rPr>
              <w:t xml:space="preserve">Consequences visible at decision time. In a settlement fight, which enemies carry court consequences must be readable per-unit before the killing blow, not discovered in the Herald's Report a lunation later.</w:t>
            </w:r>
          </w:p>
        </w:tc>
      </w:tr>
      <w:tr>
        <w:tc>
          <w:tcPr>
            <w:tcW w:type="dxa" w:w="624"/>
            <w:tcMar>
              <w:top w:type="dxa" w:w="60"/>
              <w:left w:type="dxa" w:w="100"/>
              <w:bottom w:type="dxa" w:w="60"/>
              <w:right w:type="dxa" w:w="100"/>
            </w:tcMar>
          </w:tcPr>
          <w:p>
            <w:pPr>
              <w:spacing w:after="40"/>
            </w:pPr>
            <w:r>
              <w:rPr>
                <w:b w:val="false"/>
                <w:bCs w:val="false"/>
                <w:sz w:val="20"/>
                <w:szCs w:val="20"/>
              </w:rPr>
              <w:t xml:space="preserve">P4</w:t>
            </w:r>
          </w:p>
        </w:tc>
        <w:tc>
          <w:tcPr>
            <w:tcW w:type="dxa" w:w="8736"/>
            <w:tcMar>
              <w:top w:type="dxa" w:w="60"/>
              <w:left w:type="dxa" w:w="100"/>
              <w:bottom w:type="dxa" w:w="60"/>
              <w:right w:type="dxa" w:w="100"/>
            </w:tcMar>
          </w:tcPr>
          <w:p>
            <w:pPr>
              <w:spacing w:after="40"/>
            </w:pPr>
            <w:r>
              <w:rPr>
                <w:b w:val="false"/>
                <w:bCs w:val="false"/>
                <w:sz w:val="20"/>
                <w:szCs w:val="20"/>
              </w:rPr>
              <w:t xml:space="preserve">Every color through UITheme; every panel built via CallDeferred(nameof(BuildUI)); root anchors in .tscn; the six Mac/Compatibility rules are non-negotiable per standing policy. v2 also executes the standing chore: ArmoryTab.RarityColor() moves to UITheme.RarityColor().</w:t>
            </w:r>
          </w:p>
        </w:tc>
      </w:tr>
      <w:tr>
        <w:tc>
          <w:tcPr>
            <w:tcW w:type="dxa" w:w="624"/>
            <w:tcMar>
              <w:top w:type="dxa" w:w="60"/>
              <w:left w:type="dxa" w:w="100"/>
              <w:bottom w:type="dxa" w:w="60"/>
              <w:right w:type="dxa" w:w="100"/>
            </w:tcMar>
          </w:tcPr>
          <w:p>
            <w:pPr>
              <w:spacing w:after="40"/>
            </w:pPr>
            <w:r>
              <w:rPr>
                <w:b w:val="false"/>
                <w:bCs w:val="false"/>
                <w:sz w:val="20"/>
                <w:szCs w:val="20"/>
              </w:rPr>
              <w:t xml:space="preserve">P5</w:t>
            </w:r>
          </w:p>
        </w:tc>
        <w:tc>
          <w:tcPr>
            <w:tcW w:type="dxa" w:w="8736"/>
            <w:tcMar>
              <w:top w:type="dxa" w:w="60"/>
              <w:left w:type="dxa" w:w="100"/>
              <w:bottom w:type="dxa" w:w="60"/>
              <w:right w:type="dxa" w:w="100"/>
            </w:tcMar>
          </w:tcPr>
          <w:p>
            <w:pPr>
              <w:spacing w:after="40"/>
            </w:pPr>
            <w:r>
              <w:rPr>
                <w:b w:val="false"/>
                <w:bCs w:val="false"/>
                <w:sz w:val="20"/>
                <w:szCs w:val="20"/>
              </w:rPr>
              <w:t xml:space="preserve">One data direction: the HUD reads Unit + registry + context; it never owns combat state. Ability state (charge cycles, EveryN counters, spent flags) lives on Unit per archmage_unique_units §12 — the UI renders it.</w:t>
            </w:r>
          </w:p>
        </w:tc>
      </w:tr>
    </w:tbl>
    <w:p>
      <w:pPr>
        <w:pStyle w:val="Heading1"/>
        <w:spacing w:after="160" w:before="360"/>
      </w:pPr>
      <w:r>
        <w:t xml:space="preserve">4. Resolution &amp; Layout Architecture (Ruling)</w:t>
      </w:r>
    </w:p>
    <w:p>
      <w:pPr>
        <w:spacing w:after="120"/>
      </w:pPr>
      <w:r>
        <w:rPr>
          <w:b/>
          <w:bCs/>
          <w:i w:val="false"/>
          <w:iCs w:val="false"/>
        </w:rPr>
        <w:t xml:space="preserve">Adopt canvas_items stretch mode with a fixed 1920×1080 design resolution (project settings), minimum window 1280×720. </w:t>
      </w:r>
      <w:r>
        <w:rPr>
          <w:b w:val="false"/>
          <w:bCs w:val="false"/>
          <w:i w:val="false"/>
          <w:iCs w:val="false"/>
        </w:rPr>
        <w:t xml:space="preserve">All UI code then positions in design space — the LeftPanelWidth-style pixel constants become design-space constants and stay correct at every window size and on Retina, and the entire GetViewport().GetVisibleRect().Size class of bugs (the documented DeckUiManager trap: editor viewport size masquerading as monitor resolution) dies structurally instead of being re-fixed per panel. GL Compatibility supports canvas_items stretch fully. The hand-fan bound fractions convert to design-space rect constants in UITheme alongside the existing hand-arc constants. High confidence — this is the cheapest possible time to make the change, before v2 adds a dozen new positioned elements.</w:t>
      </w:r>
    </w:p>
    <w:p>
      <w:pPr>
        <w:pStyle w:val="Heading1"/>
        <w:spacing w:after="160" w:before="360"/>
      </w:pPr>
      <w:r>
        <w:t xml:space="preserve">5. Screen Layout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7280"/>
      </w:tblGrid>
      <w:tr>
        <w:tc>
          <w:tcPr>
            <w:tcW w:type="dxa" w:w="2080"/>
            <w:shd w:fill="E8E4DA" w:val="clear"/>
            <w:tcMar>
              <w:top w:type="dxa" w:w="60"/>
              <w:left w:type="dxa" w:w="100"/>
              <w:bottom w:type="dxa" w:w="60"/>
              <w:right w:type="dxa" w:w="100"/>
            </w:tcMar>
          </w:tcPr>
          <w:p>
            <w:pPr>
              <w:spacing w:after="40"/>
            </w:pPr>
            <w:r>
              <w:rPr>
                <w:b/>
                <w:bCs/>
                <w:sz w:val="20"/>
                <w:szCs w:val="20"/>
              </w:rPr>
              <w:t xml:space="preserve">Region</w:t>
            </w:r>
          </w:p>
        </w:tc>
        <w:tc>
          <w:tcPr>
            <w:tcW w:type="dxa" w:w="7280"/>
            <w:shd w:fill="E8E4DA" w:val="clear"/>
            <w:tcMar>
              <w:top w:type="dxa" w:w="60"/>
              <w:left w:type="dxa" w:w="100"/>
              <w:bottom w:type="dxa" w:w="60"/>
              <w:right w:type="dxa" w:w="100"/>
            </w:tcMar>
          </w:tcPr>
          <w:p>
            <w:pPr>
              <w:spacing w:after="40"/>
            </w:pPr>
            <w:r>
              <w:rPr>
                <w:b/>
                <w:bCs/>
                <w:sz w:val="20"/>
                <w:szCs w:val="20"/>
              </w:rPr>
              <w:t xml:space="preserve">Contents</w:t>
            </w:r>
          </w:p>
        </w:tc>
      </w:tr>
      <w:tr>
        <w:tc>
          <w:tcPr>
            <w:tcW w:type="dxa" w:w="2080"/>
            <w:tcMar>
              <w:top w:type="dxa" w:w="60"/>
              <w:left w:type="dxa" w:w="100"/>
              <w:bottom w:type="dxa" w:w="60"/>
              <w:right w:type="dxa" w:w="100"/>
            </w:tcMar>
          </w:tcPr>
          <w:p>
            <w:pPr>
              <w:spacing w:after="40"/>
            </w:pPr>
            <w:r>
              <w:rPr>
                <w:b w:val="false"/>
                <w:bCs w:val="false"/>
                <w:sz w:val="20"/>
                <w:szCs w:val="20"/>
              </w:rPr>
              <w:t xml:space="preserve">Top center — Banner + Context Strip</w:t>
            </w:r>
          </w:p>
        </w:tc>
        <w:tc>
          <w:tcPr>
            <w:tcW w:type="dxa" w:w="7280"/>
            <w:tcMar>
              <w:top w:type="dxa" w:w="60"/>
              <w:left w:type="dxa" w:w="100"/>
              <w:bottom w:type="dxa" w:w="60"/>
              <w:right w:type="dxa" w:w="100"/>
            </w:tcMar>
          </w:tcPr>
          <w:p>
            <w:pPr>
              <w:spacing w:after="40"/>
            </w:pPr>
            <w:r>
              <w:rPr>
                <w:b w:val="false"/>
                <w:bCs w:val="false"/>
                <w:sz w:val="20"/>
                <w:szCs w:val="20"/>
              </w:rPr>
              <w:t xml:space="preserve">Line 1: phase banner (Round N · Player Turn), relocated from the left panel. Line 2: context strip — location terrain/theme name, kingdom chip in FactionColorHex (the §11-contract tint legend), a 'Witnessed' badge when SettlementIndex ≥ 0, and a corruption band icon at 60+/90+. The player reads WHERE they are fighting and WHO is watching in one line (P3).</w:t>
            </w:r>
          </w:p>
        </w:tc>
      </w:tr>
      <w:tr>
        <w:tc>
          <w:tcPr>
            <w:tcW w:type="dxa" w:w="2080"/>
            <w:tcMar>
              <w:top w:type="dxa" w:w="60"/>
              <w:left w:type="dxa" w:w="100"/>
              <w:bottom w:type="dxa" w:w="60"/>
              <w:right w:type="dxa" w:w="100"/>
            </w:tcMar>
          </w:tcPr>
          <w:p>
            <w:pPr>
              <w:spacing w:after="40"/>
            </w:pPr>
            <w:r>
              <w:rPr>
                <w:b w:val="false"/>
                <w:bCs w:val="false"/>
                <w:sz w:val="20"/>
                <w:szCs w:val="20"/>
              </w:rPr>
              <w:t xml:space="preserve">Top center, below banner — Boss Frame</w:t>
            </w:r>
          </w:p>
        </w:tc>
        <w:tc>
          <w:tcPr>
            <w:tcW w:type="dxa" w:w="7280"/>
            <w:tcMar>
              <w:top w:type="dxa" w:w="60"/>
              <w:left w:type="dxa" w:w="100"/>
              <w:bottom w:type="dxa" w:w="60"/>
              <w:right w:type="dxa" w:w="100"/>
            </w:tcMar>
          </w:tcPr>
          <w:p>
            <w:pPr>
              <w:spacing w:after="40"/>
            </w:pPr>
            <w:r>
              <w:rPr>
                <w:b w:val="false"/>
                <w:bCs w:val="false"/>
                <w:sz w:val="20"/>
                <w:szCs w:val="20"/>
              </w:rPr>
              <w:t xml:space="preserve">Only when a Role=Boss unit is present: wide HP bar, name + title, phase pips. §10.</w:t>
            </w:r>
          </w:p>
        </w:tc>
      </w:tr>
      <w:tr>
        <w:tc>
          <w:tcPr>
            <w:tcW w:type="dxa" w:w="2080"/>
            <w:tcMar>
              <w:top w:type="dxa" w:w="60"/>
              <w:left w:type="dxa" w:w="100"/>
              <w:bottom w:type="dxa" w:w="60"/>
              <w:right w:type="dxa" w:w="100"/>
            </w:tcMar>
          </w:tcPr>
          <w:p>
            <w:pPr>
              <w:spacing w:after="40"/>
            </w:pPr>
            <w:r>
              <w:rPr>
                <w:b w:val="false"/>
                <w:bCs w:val="false"/>
                <w:sz w:val="20"/>
                <w:szCs w:val="20"/>
              </w:rPr>
              <w:t xml:space="preserve">Left column — Selected Unit + Attunement</w:t>
            </w:r>
          </w:p>
        </w:tc>
        <w:tc>
          <w:tcPr>
            <w:tcW w:type="dxa" w:w="7280"/>
            <w:tcMar>
              <w:top w:type="dxa" w:w="60"/>
              <w:left w:type="dxa" w:w="100"/>
              <w:bottom w:type="dxa" w:w="60"/>
              <w:right w:type="dxa" w:w="100"/>
            </w:tcMar>
          </w:tcPr>
          <w:p>
            <w:pPr>
              <w:spacing w:after="40"/>
            </w:pPr>
            <w:r>
              <w:rPr>
                <w:b w:val="false"/>
                <w:bCs w:val="false"/>
                <w:sz w:val="20"/>
                <w:szCs w:val="20"/>
              </w:rPr>
              <w:t xml:space="preserve">The existing unit card, minus the log, party chips, deck counters, and End Turn: name, HP/MP/Shield bars, ARM/AP/SPD, statuses. Enemy inspection reuses this panel as today, extended per §7. SchoolAttunementUI docks beneath via the existing AttunementSection wiring.</w:t>
            </w:r>
          </w:p>
        </w:tc>
      </w:tr>
      <w:tr>
        <w:tc>
          <w:tcPr>
            <w:tcW w:type="dxa" w:w="2080"/>
            <w:tcMar>
              <w:top w:type="dxa" w:w="60"/>
              <w:left w:type="dxa" w:w="100"/>
              <w:bottom w:type="dxa" w:w="60"/>
              <w:right w:type="dxa" w:w="100"/>
            </w:tcMar>
          </w:tcPr>
          <w:p>
            <w:pPr>
              <w:spacing w:after="40"/>
            </w:pPr>
            <w:r>
              <w:rPr>
                <w:b w:val="false"/>
                <w:bCs w:val="false"/>
                <w:sz w:val="20"/>
                <w:szCs w:val="20"/>
              </w:rPr>
              <w:t xml:space="preserve">Right column — Enemy Roster v2</w:t>
            </w:r>
          </w:p>
        </w:tc>
        <w:tc>
          <w:tcPr>
            <w:tcW w:type="dxa" w:w="7280"/>
            <w:tcMar>
              <w:top w:type="dxa" w:w="60"/>
              <w:left w:type="dxa" w:w="100"/>
              <w:bottom w:type="dxa" w:w="60"/>
              <w:right w:type="dxa" w:w="100"/>
            </w:tcMar>
          </w:tcPr>
          <w:p>
            <w:pPr>
              <w:spacing w:after="40"/>
            </w:pPr>
            <w:r>
              <w:rPr>
                <w:b w:val="false"/>
                <w:bCs w:val="false"/>
                <w:sz w:val="20"/>
                <w:szCs w:val="20"/>
              </w:rPr>
              <w:t xml:space="preserve">§6. Same anchor scheme as today (right-edge panel, fixed design-space width).</w:t>
            </w:r>
          </w:p>
        </w:tc>
      </w:tr>
      <w:tr>
        <w:tc>
          <w:tcPr>
            <w:tcW w:type="dxa" w:w="2080"/>
            <w:tcMar>
              <w:top w:type="dxa" w:w="60"/>
              <w:left w:type="dxa" w:w="100"/>
              <w:bottom w:type="dxa" w:w="60"/>
              <w:right w:type="dxa" w:w="100"/>
            </w:tcMar>
          </w:tcPr>
          <w:p>
            <w:pPr>
              <w:spacing w:after="40"/>
            </w:pPr>
            <w:r>
              <w:rPr>
                <w:b w:val="false"/>
                <w:bCs w:val="false"/>
                <w:sz w:val="20"/>
                <w:szCs w:val="20"/>
              </w:rPr>
              <w:t xml:space="preserve">Bottom center — Hand</w:t>
            </w:r>
          </w:p>
        </w:tc>
        <w:tc>
          <w:tcPr>
            <w:tcW w:type="dxa" w:w="7280"/>
            <w:tcMar>
              <w:top w:type="dxa" w:w="60"/>
              <w:left w:type="dxa" w:w="100"/>
              <w:bottom w:type="dxa" w:w="60"/>
              <w:right w:type="dxa" w:w="100"/>
            </w:tcMar>
          </w:tcPr>
          <w:p>
            <w:pPr>
              <w:spacing w:after="40"/>
            </w:pPr>
            <w:r>
              <w:rPr>
                <w:b w:val="false"/>
                <w:bCs w:val="false"/>
                <w:sz w:val="20"/>
                <w:szCs w:val="20"/>
              </w:rPr>
              <w:t xml:space="preserve">The card fan, mechanically unchanged (drag-to-cast, channel hint). Hint text line sits directly above the fan. Deck and Grave counters flank the fan left/right.</w:t>
            </w:r>
          </w:p>
        </w:tc>
      </w:tr>
      <w:tr>
        <w:tc>
          <w:tcPr>
            <w:tcW w:type="dxa" w:w="2080"/>
            <w:tcMar>
              <w:top w:type="dxa" w:w="60"/>
              <w:left w:type="dxa" w:w="100"/>
              <w:bottom w:type="dxa" w:w="60"/>
              <w:right w:type="dxa" w:w="100"/>
            </w:tcMar>
          </w:tcPr>
          <w:p>
            <w:pPr>
              <w:spacing w:after="40"/>
            </w:pPr>
            <w:r>
              <w:rPr>
                <w:b w:val="false"/>
                <w:bCs w:val="false"/>
                <w:sz w:val="20"/>
                <w:szCs w:val="20"/>
              </w:rPr>
              <w:t xml:space="preserve">Bottom right — End Turn / Confirm Deployment</w:t>
            </w:r>
          </w:p>
        </w:tc>
        <w:tc>
          <w:tcPr>
            <w:tcW w:type="dxa" w:w="7280"/>
            <w:tcMar>
              <w:top w:type="dxa" w:w="60"/>
              <w:left w:type="dxa" w:w="100"/>
              <w:bottom w:type="dxa" w:w="60"/>
              <w:right w:type="dxa" w:w="100"/>
            </w:tcMar>
          </w:tcPr>
          <w:p>
            <w:pPr>
              <w:spacing w:after="40"/>
            </w:pPr>
            <w:r>
              <w:rPr>
                <w:b w:val="false"/>
                <w:bCs w:val="false"/>
                <w:sz w:val="20"/>
                <w:szCs w:val="20"/>
              </w:rPr>
              <w:t xml:space="preserve">Relocated out of the left panel to the standard tactics position: large, corner-anchored, morphing exactly as today.</w:t>
            </w:r>
          </w:p>
        </w:tc>
      </w:tr>
      <w:tr>
        <w:tc>
          <w:tcPr>
            <w:tcW w:type="dxa" w:w="2080"/>
            <w:tcMar>
              <w:top w:type="dxa" w:w="60"/>
              <w:left w:type="dxa" w:w="100"/>
              <w:bottom w:type="dxa" w:w="60"/>
              <w:right w:type="dxa" w:w="100"/>
            </w:tcMar>
          </w:tcPr>
          <w:p>
            <w:pPr>
              <w:spacing w:after="40"/>
            </w:pPr>
            <w:r>
              <w:rPr>
                <w:b w:val="false"/>
                <w:bCs w:val="false"/>
                <w:sz w:val="20"/>
                <w:szCs w:val="20"/>
              </w:rPr>
              <w:t xml:space="preserve">Bottom left — Action Log</w:t>
            </w:r>
          </w:p>
        </w:tc>
        <w:tc>
          <w:tcPr>
            <w:tcW w:type="dxa" w:w="7280"/>
            <w:tcMar>
              <w:top w:type="dxa" w:w="60"/>
              <w:left w:type="dxa" w:w="100"/>
              <w:bottom w:type="dxa" w:w="60"/>
              <w:right w:type="dxa" w:w="100"/>
            </w:tcMar>
          </w:tcPr>
          <w:p>
            <w:pPr>
              <w:spacing w:after="40"/>
            </w:pPr>
            <w:r>
              <w:rPr>
                <w:b w:val="false"/>
                <w:bCs w:val="false"/>
                <w:sz w:val="20"/>
                <w:szCs w:val="20"/>
              </w:rPr>
              <w:t xml:space="preserve">Relocated out of the left panel: a 3-line ticker, expanding to a scrollable panel on click. Log grammar per §9. Party chips move here as a slim row above the ticker (party state and log are both 'ambient awareness', and the left column stops being a junk drawer).</w:t>
            </w:r>
          </w:p>
        </w:tc>
      </w:tr>
    </w:tbl>
    <w:p>
      <w:pPr>
        <w:pStyle w:val="Heading1"/>
        <w:spacing w:after="160" w:before="360"/>
      </w:pPr>
      <w:r>
        <w:t xml:space="preserve">6. Enemy Roster v2</w:t>
      </w:r>
    </w:p>
    <w:p>
      <w:pPr>
        <w:spacing w:after="120"/>
      </w:pPr>
      <w:r>
        <w:t xml:space="preserve">One row per enemy, dense but fixed-format: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c>
          <w:tcPr>
            <w:tcW w:type="dxa" w:w="2288"/>
            <w:shd w:fill="E8E4DA" w:val="clear"/>
            <w:tcMar>
              <w:top w:type="dxa" w:w="60"/>
              <w:left w:type="dxa" w:w="100"/>
              <w:bottom w:type="dxa" w:w="60"/>
              <w:right w:type="dxa" w:w="100"/>
            </w:tcMar>
          </w:tcPr>
          <w:p>
            <w:pPr>
              <w:spacing w:after="40"/>
            </w:pPr>
            <w:r>
              <w:rPr>
                <w:b/>
                <w:bCs/>
                <w:sz w:val="20"/>
                <w:szCs w:val="20"/>
              </w:rPr>
              <w:t xml:space="preserve">Row element</w:t>
            </w:r>
          </w:p>
        </w:tc>
        <w:tc>
          <w:tcPr>
            <w:tcW w:type="dxa" w:w="7072"/>
            <w:shd w:fill="E8E4DA" w:val="clear"/>
            <w:tcMar>
              <w:top w:type="dxa" w:w="60"/>
              <w:left w:type="dxa" w:w="100"/>
              <w:bottom w:type="dxa" w:w="60"/>
              <w:right w:type="dxa" w:w="100"/>
            </w:tcMar>
          </w:tcPr>
          <w:p>
            <w:pPr>
              <w:spacing w:after="40"/>
            </w:pPr>
            <w:r>
              <w:rPr>
                <w:b/>
                <w:bCs/>
                <w:sz w:val="20"/>
                <w:szCs w:val="20"/>
              </w:rPr>
              <w:t xml:space="preserve">Binding</w:t>
            </w:r>
          </w:p>
        </w:tc>
      </w:tr>
      <w:tr>
        <w:tc>
          <w:tcPr>
            <w:tcW w:type="dxa" w:w="2288"/>
            <w:tcMar>
              <w:top w:type="dxa" w:w="60"/>
              <w:left w:type="dxa" w:w="100"/>
              <w:bottom w:type="dxa" w:w="60"/>
              <w:right w:type="dxa" w:w="100"/>
            </w:tcMar>
          </w:tcPr>
          <w:p>
            <w:pPr>
              <w:spacing w:after="40"/>
            </w:pPr>
            <w:r>
              <w:rPr>
                <w:b w:val="false"/>
                <w:bCs w:val="false"/>
                <w:sz w:val="20"/>
                <w:szCs w:val="20"/>
              </w:rPr>
              <w:t xml:space="preserve">Role marker</w:t>
            </w:r>
          </w:p>
        </w:tc>
        <w:tc>
          <w:tcPr>
            <w:tcW w:type="dxa" w:w="7072"/>
            <w:tcMar>
              <w:top w:type="dxa" w:w="60"/>
              <w:left w:type="dxa" w:w="100"/>
              <w:bottom w:type="dxa" w:w="60"/>
              <w:right w:type="dxa" w:w="100"/>
            </w:tcMar>
          </w:tcPr>
          <w:p>
            <w:pPr>
              <w:spacing w:after="40"/>
            </w:pPr>
            <w:r>
              <w:rPr>
                <w:b w:val="false"/>
                <w:bCs w:val="false"/>
                <w:sz w:val="20"/>
                <w:szCs w:val="20"/>
              </w:rPr>
              <w:t xml:space="preserve">Line = small dot, Elite = chevron, Boss = crest (Boss also gets the §10 frame). UITheme.RoleLine/RoleElite/RoleBoss.</w:t>
            </w:r>
          </w:p>
        </w:tc>
      </w:tr>
      <w:tr>
        <w:tc>
          <w:tcPr>
            <w:tcW w:type="dxa" w:w="2288"/>
            <w:tcMar>
              <w:top w:type="dxa" w:w="60"/>
              <w:left w:type="dxa" w:w="100"/>
              <w:bottom w:type="dxa" w:w="60"/>
              <w:right w:type="dxa" w:w="100"/>
            </w:tcMar>
          </w:tcPr>
          <w:p>
            <w:pPr>
              <w:spacing w:after="40"/>
            </w:pPr>
            <w:r>
              <w:rPr>
                <w:b w:val="false"/>
                <w:bCs w:val="false"/>
                <w:sz w:val="20"/>
                <w:szCs w:val="20"/>
              </w:rPr>
              <w:t xml:space="preserve">Name</w:t>
            </w:r>
          </w:p>
        </w:tc>
        <w:tc>
          <w:tcPr>
            <w:tcW w:type="dxa" w:w="7072"/>
            <w:tcMar>
              <w:top w:type="dxa" w:w="60"/>
              <w:left w:type="dxa" w:w="100"/>
              <w:bottom w:type="dxa" w:w="60"/>
              <w:right w:type="dxa" w:w="100"/>
            </w:tcMar>
          </w:tcPr>
          <w:p>
            <w:pPr>
              <w:spacing w:after="40"/>
            </w:pPr>
            <w:r>
              <w:rPr>
                <w:b w:val="false"/>
                <w:bCs w:val="false"/>
                <w:sz w:val="20"/>
                <w:szCs w:val="20"/>
              </w:rPr>
              <w:t xml:space="preserve">Line units: ThreatLabel + index ("Honored Dead 2") — genera stay cheap to parse in multiples. Elite/Boss: full Name ("The Final Service"). Exactly the §11-contract nameplate policy.</w:t>
            </w:r>
          </w:p>
        </w:tc>
      </w:tr>
      <w:tr>
        <w:tc>
          <w:tcPr>
            <w:tcW w:type="dxa" w:w="2288"/>
            <w:tcMar>
              <w:top w:type="dxa" w:w="60"/>
              <w:left w:type="dxa" w:w="100"/>
              <w:bottom w:type="dxa" w:w="60"/>
              <w:right w:type="dxa" w:w="100"/>
            </w:tcMar>
          </w:tcPr>
          <w:p>
            <w:pPr>
              <w:spacing w:after="40"/>
            </w:pPr>
            <w:r>
              <w:rPr>
                <w:b w:val="false"/>
                <w:bCs w:val="false"/>
                <w:sz w:val="20"/>
                <w:szCs w:val="20"/>
              </w:rPr>
              <w:t xml:space="preserve">HP bar</w:t>
            </w:r>
          </w:p>
        </w:tc>
        <w:tc>
          <w:tcPr>
            <w:tcW w:type="dxa" w:w="7072"/>
            <w:tcMar>
              <w:top w:type="dxa" w:w="60"/>
              <w:left w:type="dxa" w:w="100"/>
              <w:bottom w:type="dxa" w:w="60"/>
              <w:right w:type="dxa" w:w="100"/>
            </w:tcMar>
          </w:tcPr>
          <w:p>
            <w:pPr>
              <w:spacing w:after="40"/>
            </w:pPr>
            <w:r>
              <w:rPr>
                <w:b w:val="false"/>
                <w:bCs w:val="false"/>
                <w:sz w:val="20"/>
                <w:szCs w:val="20"/>
              </w:rPr>
              <w:t xml:space="preserve">As today, tinted by FactionColorHex at low saturation so the roster doubles as a faction read.</w:t>
            </w:r>
          </w:p>
        </w:tc>
      </w:tr>
      <w:tr>
        <w:tc>
          <w:tcPr>
            <w:tcW w:type="dxa" w:w="2288"/>
            <w:tcMar>
              <w:top w:type="dxa" w:w="60"/>
              <w:left w:type="dxa" w:w="100"/>
              <w:bottom w:type="dxa" w:w="60"/>
              <w:right w:type="dxa" w:w="100"/>
            </w:tcMar>
          </w:tcPr>
          <w:p>
            <w:pPr>
              <w:spacing w:after="40"/>
            </w:pPr>
            <w:r>
              <w:rPr>
                <w:b w:val="false"/>
                <w:bCs w:val="false"/>
                <w:sz w:val="20"/>
                <w:szCs w:val="20"/>
              </w:rPr>
              <w:t xml:space="preserve">Ability icon + state chips</w:t>
            </w:r>
          </w:p>
        </w:tc>
        <w:tc>
          <w:tcPr>
            <w:tcW w:type="dxa" w:w="7072"/>
            <w:tcMar>
              <w:top w:type="dxa" w:w="60"/>
              <w:left w:type="dxa" w:w="100"/>
              <w:bottom w:type="dxa" w:w="60"/>
              <w:right w:type="dxa" w:w="100"/>
            </w:tcMar>
          </w:tcPr>
          <w:p>
            <w:pPr>
              <w:spacing w:after="40"/>
            </w:pPr>
            <w:r>
              <w:rPr>
                <w:b w:val="false"/>
                <w:bCs w:val="false"/>
                <w:sz w:val="20"/>
                <w:szCs w:val="20"/>
              </w:rPr>
              <w:t xml:space="preserve">One icon per ability (key → icon table in UIContent). State chips per §8: charge dot, EveryN countdown pips, mimic next-mode glyph, spent markers dimmed.</w:t>
            </w:r>
          </w:p>
        </w:tc>
      </w:tr>
      <w:tr>
        <w:tc>
          <w:tcPr>
            <w:tcW w:type="dxa" w:w="2288"/>
            <w:tcMar>
              <w:top w:type="dxa" w:w="60"/>
              <w:left w:type="dxa" w:w="100"/>
              <w:bottom w:type="dxa" w:w="60"/>
              <w:right w:type="dxa" w:w="100"/>
            </w:tcMar>
          </w:tcPr>
          <w:p>
            <w:pPr>
              <w:spacing w:after="40"/>
            </w:pPr>
            <w:r>
              <w:rPr>
                <w:b w:val="false"/>
                <w:bCs w:val="false"/>
                <w:sz w:val="20"/>
                <w:szCs w:val="20"/>
              </w:rPr>
              <w:t xml:space="preserve">Valence tag</w:t>
            </w:r>
          </w:p>
        </w:tc>
        <w:tc>
          <w:tcPr>
            <w:tcW w:type="dxa" w:w="7072"/>
            <w:tcMar>
              <w:top w:type="dxa" w:w="60"/>
              <w:left w:type="dxa" w:w="100"/>
              <w:bottom w:type="dxa" w:w="60"/>
              <w:right w:type="dxa" w:w="100"/>
            </w:tcMar>
          </w:tcPr>
          <w:p>
            <w:pPr>
              <w:spacing w:after="40"/>
            </w:pPr>
            <w:r>
              <w:rPr>
                <w:b w:val="false"/>
                <w:bCs w:val="false"/>
                <w:sz w:val="20"/>
                <w:szCs w:val="20"/>
              </w:rPr>
              <w:t xml:space="preserve">Kingdom-aligned units carry the kingdom chip; corrupted/monster units carry a blight chip (#1A3A5C accent). In settlement fights this is the per-unit echo-consequence read (P3): the player can see mid-fight that cutting down the city watch and cutting down the corrupted thing beside them are different acts.</w:t>
            </w:r>
          </w:p>
        </w:tc>
      </w:tr>
      <w:tr>
        <w:tc>
          <w:tcPr>
            <w:tcW w:type="dxa" w:w="2288"/>
            <w:tcMar>
              <w:top w:type="dxa" w:w="60"/>
              <w:left w:type="dxa" w:w="100"/>
              <w:bottom w:type="dxa" w:w="60"/>
              <w:right w:type="dxa" w:w="100"/>
            </w:tcMar>
          </w:tcPr>
          <w:p>
            <w:pPr>
              <w:spacing w:after="40"/>
            </w:pPr>
            <w:r>
              <w:rPr>
                <w:b w:val="false"/>
                <w:bCs w:val="false"/>
                <w:sz w:val="20"/>
                <w:szCs w:val="20"/>
              </w:rPr>
              <w:t xml:space="preserve">Active marker</w:t>
            </w:r>
          </w:p>
        </w:tc>
        <w:tc>
          <w:tcPr>
            <w:tcW w:type="dxa" w:w="7072"/>
            <w:tcMar>
              <w:top w:type="dxa" w:w="60"/>
              <w:left w:type="dxa" w:w="100"/>
              <w:bottom w:type="dxa" w:w="60"/>
              <w:right w:type="dxa" w:w="100"/>
            </w:tcMar>
          </w:tcPr>
          <w:p>
            <w:pPr>
              <w:spacing w:after="40"/>
            </w:pPr>
            <w:r>
              <w:rPr>
                <w:b w:val="false"/>
                <w:bCs w:val="false"/>
                <w:sz w:val="20"/>
                <w:szCs w:val="20"/>
              </w:rPr>
              <w:t xml:space="preserve">During the enemy phase, the currently-acting unit's row highlights — enemy activations resolve in list order, so the roster becomes the enemy phase's progress bar for free.</w:t>
            </w:r>
          </w:p>
        </w:tc>
      </w:tr>
      <w:tr>
        <w:tc>
          <w:tcPr>
            <w:tcW w:type="dxa" w:w="2288"/>
            <w:tcMar>
              <w:top w:type="dxa" w:w="60"/>
              <w:left w:type="dxa" w:w="100"/>
              <w:bottom w:type="dxa" w:w="60"/>
              <w:right w:type="dxa" w:w="100"/>
            </w:tcMar>
          </w:tcPr>
          <w:p>
            <w:pPr>
              <w:spacing w:after="40"/>
            </w:pPr>
            <w:r>
              <w:rPr>
                <w:b w:val="false"/>
                <w:bCs w:val="false"/>
                <w:sz w:val="20"/>
                <w:szCs w:val="20"/>
              </w:rPr>
              <w:t xml:space="preserve">Hover</w:t>
            </w:r>
          </w:p>
        </w:tc>
        <w:tc>
          <w:tcPr>
            <w:tcW w:type="dxa" w:w="7072"/>
            <w:tcMar>
              <w:top w:type="dxa" w:w="60"/>
              <w:left w:type="dxa" w:w="100"/>
              <w:bottom w:type="dxa" w:w="60"/>
              <w:right w:type="dxa" w:w="100"/>
            </w:tcMar>
          </w:tcPr>
          <w:p>
            <w:pPr>
              <w:spacing w:after="40"/>
            </w:pPr>
            <w:r>
              <w:rPr>
                <w:b w:val="false"/>
                <w:bCs w:val="false"/>
                <w:sz w:val="20"/>
                <w:szCs w:val="20"/>
              </w:rPr>
              <w:t xml:space="preserve">Hovering a row = hovering the unit in-world: unit highlight + threat-range overlay + aura extent on the grid (§7).</w:t>
            </w:r>
          </w:p>
        </w:tc>
      </w:tr>
    </w:tbl>
    <w:p>
      <w:pPr>
        <w:pStyle w:val="Heading1"/>
        <w:spacing w:after="160" w:before="360"/>
      </w:pPr>
      <w:r>
        <w:t xml:space="preserve">7. Inspect, Threat Range, and the Intent Ruling</w:t>
      </w:r>
    </w:p>
    <w:p>
      <w:pPr>
        <w:pStyle w:val="Heading2"/>
        <w:spacing w:after="120" w:before="280"/>
      </w:pPr>
      <w:r>
        <w:t xml:space="preserve">7a. Ruling: rules and reach, never the solved turn</w:t>
      </w:r>
    </w:p>
    <w:p>
      <w:pPr>
        <w:spacing w:after="120"/>
      </w:pPr>
      <w:r>
        <w:rPr>
          <w:b/>
          <w:bCs/>
          <w:i w:val="false"/>
          <w:iCs w:val="false"/>
        </w:rPr>
        <w:t xml:space="preserve">v2 does NOT implement exact-move intent preview (the Into the Breach model: 'this unit will attack that tile'). </w:t>
      </w:r>
      <w:r>
        <w:rPr>
          <w:b w:val="false"/>
          <w:bCs w:val="false"/>
          <w:i w:val="false"/>
          <w:iCs w:val="false"/>
        </w:rPr>
        <w:t xml:space="preserve">Three reasons, in descending weight. First, identity: exact intent turns each round into a deterministic constraint puzzle, and this game's round-to-round variance lives in the card draw — solving the enemy side while the player side stays random inverts the design. Second, maintenance: exact preview requires simulating the AI's decision a turn early and keeping that simulation in lockstep with the real AI forever; every behavior tag added in the U-phases doubles its surface. Third, it's redundant: behavior keys and tags are already a rules-forward intent system — that is precisely why the unit doc built them as legible, nameable routines. Moderate-high confidence.</w:t>
      </w:r>
    </w:p>
    <w:p>
      <w:pPr>
        <w:spacing w:after="120"/>
      </w:pPr>
      <w:r>
        <w:rPr>
          <w:b/>
          <w:bCs/>
          <w:i w:val="false"/>
          <w:iCs w:val="false"/>
        </w:rPr>
        <w:t xml:space="preserve">What v2 DOES implement: threat-range overlay. </w:t>
      </w:r>
      <w:r>
        <w:rPr>
          <w:b w:val="false"/>
          <w:bCs w:val="false"/>
          <w:i w:val="false"/>
          <w:iCs w:val="false"/>
        </w:rPr>
        <w:t xml:space="preserve">Hovering any enemy (world or roster) tints every tile it could reach-and-attack next turn — pure movement + attack range arithmetic (speed, range, tag modifiers like charge's extended reach), zero AI simulation, immune to drift. This is the Fire Emblem danger zone, not the ItB script, and it composes: hover nothing and fight blind-but-informed; hover before committing a unit and see the exact risk envelope. Aura abilities additionally render their radius while hovered (the §11-contract aura-extent requirement) via the existing range-highlight tile machinery.</w:t>
      </w:r>
    </w:p>
    <w:p>
      <w:pPr>
        <w:pStyle w:val="Heading2"/>
        <w:spacing w:after="120" w:before="280"/>
      </w:pPr>
      <w:r>
        <w:t xml:space="preserve">7b. Inspect panel extension</w:t>
      </w:r>
    </w:p>
    <w:p>
      <w:pPr>
        <w:spacing w:after="120"/>
      </w:pPr>
      <w:r>
        <w:t xml:space="preserve">Clicking an enemy routes it into the left panel exactly as today; v2 appends three blocks: a behavior line in plain language keyed from BehaviorKey + tags ('Holds position until a unit comes within 2' / 'Hunts your weakest unit' / 'Rotates: soldier → ranger → wizard'), one block per ability (icon, name, full IntelDescription, current state — '2 rounds until Fabricate'), and the role/faction line (Elite · The Korro Workshop). Plain-language strings live in a UIContent static keyed by BehaviorKey/AbilityKey — content, not code, so authoring a unit means authoring its strings.</w:t>
      </w:r>
    </w:p>
    <w:p>
      <w:pPr>
        <w:pStyle w:val="Heading2"/>
        <w:spacing w:after="120" w:before="280"/>
      </w:pPr>
      <w:r>
        <w:t xml:space="preserve">7c. The Stack Panel (NEW — ruling R3)</w:t>
      </w:r>
    </w:p>
    <w:p>
      <w:pPr>
        <w:spacing w:after="120"/>
      </w:pPr>
      <w:r>
        <w:t xml:space="preserve">Enemy triggered abilities now enter the stack as visible, respondable objects (archmage_unique_units v1.2 §5), so the stack earns the UI it was previously denied. A compact vertical strip, center-right above the hand, shows pending stack objects top-down — source, ability name, one-line effect — resolving object highlighted. While the player holds priority: a Respond affordance (enabled only when a response-speed card is in hand) and Pass. When the player holds no response and has set no stop, priority auto-passes and the strip plays through with ZERO input — the panel must never add clicks to a fight the player cannot interact with. Stops are per-trigger-type toggles in the strip header (the digital-card-game full-control pattern). Ships in V3 with the ability framework.</w:t>
      </w:r>
    </w:p>
    <w:p>
      <w:pPr>
        <w:pStyle w:val="Heading1"/>
        <w:spacing w:after="160" w:before="360"/>
      </w:pPr>
      <w:r>
        <w:t xml:space="preserve">8. Ability State Widgets — the §11 Contract, Itemized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E8E4DA" w:val="clear"/>
            <w:tcMar>
              <w:top w:type="dxa" w:w="60"/>
              <w:left w:type="dxa" w:w="100"/>
              <w:bottom w:type="dxa" w:w="60"/>
              <w:right w:type="dxa" w:w="100"/>
            </w:tcMar>
          </w:tcPr>
          <w:p>
            <w:pPr>
              <w:spacing w:after="40"/>
            </w:pPr>
            <w:r>
              <w:rPr>
                <w:b/>
                <w:bCs/>
                <w:sz w:val="20"/>
                <w:szCs w:val="20"/>
              </w:rPr>
              <w:t xml:space="preserve">§11 requirement</w:t>
            </w:r>
          </w:p>
        </w:tc>
        <w:tc>
          <w:tcPr>
            <w:tcW w:type="dxa" w:w="6240"/>
            <w:shd w:fill="E8E4DA" w:val="clear"/>
            <w:tcMar>
              <w:top w:type="dxa" w:w="60"/>
              <w:left w:type="dxa" w:w="100"/>
              <w:bottom w:type="dxa" w:w="60"/>
              <w:right w:type="dxa" w:w="100"/>
            </w:tcMar>
          </w:tcPr>
          <w:p>
            <w:pPr>
              <w:spacing w:after="40"/>
            </w:pPr>
            <w:r>
              <w:rPr>
                <w:b/>
                <w:bCs/>
                <w:sz w:val="20"/>
                <w:szCs w:val="20"/>
              </w:rPr>
              <w:t xml:space="preserve">v2 widget</w:t>
            </w:r>
          </w:p>
        </w:tc>
      </w:tr>
      <w:tr>
        <w:tc>
          <w:tcPr>
            <w:tcW w:type="dxa" w:w="3120"/>
            <w:tcMar>
              <w:top w:type="dxa" w:w="60"/>
              <w:left w:type="dxa" w:w="100"/>
              <w:bottom w:type="dxa" w:w="60"/>
              <w:right w:type="dxa" w:w="100"/>
            </w:tcMar>
          </w:tcPr>
          <w:p>
            <w:pPr>
              <w:spacing w:after="40"/>
            </w:pPr>
            <w:r>
              <w:rPr>
                <w:b w:val="false"/>
                <w:bCs w:val="false"/>
                <w:sz w:val="20"/>
                <w:szCs w:val="20"/>
              </w:rPr>
              <w:t xml:space="preserve">Wizard-key charge state</w:t>
            </w:r>
          </w:p>
        </w:tc>
        <w:tc>
          <w:tcPr>
            <w:tcW w:type="dxa" w:w="6240"/>
            <w:tcMar>
              <w:top w:type="dxa" w:w="60"/>
              <w:left w:type="dxa" w:w="100"/>
              <w:bottom w:type="dxa" w:w="60"/>
              <w:right w:type="dxa" w:w="100"/>
            </w:tcMar>
          </w:tcPr>
          <w:p>
            <w:pPr>
              <w:spacing w:after="40"/>
            </w:pPr>
            <w:r>
              <w:rPr>
                <w:b w:val="false"/>
                <w:bCs w:val="false"/>
                <w:sz w:val="20"/>
                <w:szCs w:val="20"/>
              </w:rPr>
              <w:t xml:space="preserve">Charge dot on the roster row: hollow = charging, filled = firing this activation. (Replaces today's implicit 'charges every other turn' that the player must count.)</w:t>
            </w:r>
          </w:p>
        </w:tc>
      </w:tr>
      <w:tr>
        <w:tc>
          <w:tcPr>
            <w:tcW w:type="dxa" w:w="3120"/>
            <w:tcMar>
              <w:top w:type="dxa" w:w="60"/>
              <w:left w:type="dxa" w:w="100"/>
              <w:bottom w:type="dxa" w:w="60"/>
              <w:right w:type="dxa" w:w="100"/>
            </w:tcMar>
          </w:tcPr>
          <w:p>
            <w:pPr>
              <w:spacing w:after="40"/>
            </w:pPr>
            <w:r>
              <w:rPr>
                <w:b w:val="false"/>
                <w:bCs w:val="false"/>
                <w:sz w:val="20"/>
                <w:szCs w:val="20"/>
              </w:rPr>
              <w:t xml:space="preserve">EveryNRounds counters (Fabricate)</w:t>
            </w:r>
          </w:p>
        </w:tc>
        <w:tc>
          <w:tcPr>
            <w:tcW w:type="dxa" w:w="6240"/>
            <w:tcMar>
              <w:top w:type="dxa" w:w="60"/>
              <w:left w:type="dxa" w:w="100"/>
              <w:bottom w:type="dxa" w:w="60"/>
              <w:right w:type="dxa" w:w="100"/>
            </w:tcMar>
          </w:tcPr>
          <w:p>
            <w:pPr>
              <w:spacing w:after="40"/>
            </w:pPr>
            <w:r>
              <w:rPr>
                <w:b w:val="false"/>
                <w:bCs w:val="false"/>
                <w:sz w:val="20"/>
                <w:szCs w:val="20"/>
              </w:rPr>
              <w:t xml:space="preserve">Countdown pips on the roster row; pip count = rounds remaining; pulses at 1.</w:t>
            </w:r>
          </w:p>
        </w:tc>
      </w:tr>
      <w:tr>
        <w:tc>
          <w:tcPr>
            <w:tcW w:type="dxa" w:w="3120"/>
            <w:tcMar>
              <w:top w:type="dxa" w:w="60"/>
              <w:left w:type="dxa" w:w="100"/>
              <w:bottom w:type="dxa" w:w="60"/>
              <w:right w:type="dxa" w:w="100"/>
            </w:tcMar>
          </w:tcPr>
          <w:p>
            <w:pPr>
              <w:spacing w:after="40"/>
            </w:pPr>
            <w:r>
              <w:rPr>
                <w:b w:val="false"/>
                <w:bCs w:val="false"/>
                <w:sz w:val="20"/>
                <w:szCs w:val="20"/>
              </w:rPr>
              <w:t xml:space="preserve">Mimic rotation's next mode</w:t>
            </w:r>
          </w:p>
        </w:tc>
        <w:tc>
          <w:tcPr>
            <w:tcW w:type="dxa" w:w="6240"/>
            <w:tcMar>
              <w:top w:type="dxa" w:w="60"/>
              <w:left w:type="dxa" w:w="100"/>
              <w:bottom w:type="dxa" w:w="60"/>
              <w:right w:type="dxa" w:w="100"/>
            </w:tcMar>
          </w:tcPr>
          <w:p>
            <w:pPr>
              <w:spacing w:after="40"/>
            </w:pPr>
            <w:r>
              <w:rPr>
                <w:b w:val="false"/>
                <w:bCs w:val="false"/>
                <w:sz w:val="20"/>
                <w:szCs w:val="20"/>
              </w:rPr>
              <w:t xml:space="preserve">Glyph of the NEXT key (sword/bow/staff) on the roster row and inspect panel — the Master-of-Eight telegraphs one step ahead by design.</w:t>
            </w:r>
          </w:p>
        </w:tc>
      </w:tr>
      <w:tr>
        <w:tc>
          <w:tcPr>
            <w:tcW w:type="dxa" w:w="3120"/>
            <w:tcMar>
              <w:top w:type="dxa" w:w="60"/>
              <w:left w:type="dxa" w:w="100"/>
              <w:bottom w:type="dxa" w:w="60"/>
              <w:right w:type="dxa" w:w="100"/>
            </w:tcMar>
          </w:tcPr>
          <w:p>
            <w:pPr>
              <w:spacing w:after="40"/>
            </w:pPr>
            <w:r>
              <w:rPr>
                <w:b w:val="false"/>
                <w:bCs w:val="false"/>
                <w:sz w:val="20"/>
                <w:szCs w:val="20"/>
              </w:rPr>
              <w:t xml:space="preserve">Once-per-round spent (Mirrorstep)</w:t>
            </w:r>
          </w:p>
        </w:tc>
        <w:tc>
          <w:tcPr>
            <w:tcW w:type="dxa" w:w="6240"/>
            <w:tcMar>
              <w:top w:type="dxa" w:w="60"/>
              <w:left w:type="dxa" w:w="100"/>
              <w:bottom w:type="dxa" w:w="60"/>
              <w:right w:type="dxa" w:w="100"/>
            </w:tcMar>
          </w:tcPr>
          <w:p>
            <w:pPr>
              <w:spacing w:after="40"/>
            </w:pPr>
            <w:r>
              <w:rPr>
                <w:b w:val="false"/>
                <w:bCs w:val="false"/>
                <w:sz w:val="20"/>
                <w:szCs w:val="20"/>
              </w:rPr>
              <w:t xml:space="preserve">Icon dims when spent, restores at round start. The player learns 'the first hit misses' by watching the icon come back.</w:t>
            </w:r>
          </w:p>
        </w:tc>
      </w:tr>
      <w:tr>
        <w:tc>
          <w:tcPr>
            <w:tcW w:type="dxa" w:w="3120"/>
            <w:tcMar>
              <w:top w:type="dxa" w:w="60"/>
              <w:left w:type="dxa" w:w="100"/>
              <w:bottom w:type="dxa" w:w="60"/>
              <w:right w:type="dxa" w:w="100"/>
            </w:tcMar>
          </w:tcPr>
          <w:p>
            <w:pPr>
              <w:spacing w:after="40"/>
            </w:pPr>
            <w:r>
              <w:rPr>
                <w:b w:val="false"/>
                <w:bCs w:val="false"/>
                <w:sz w:val="20"/>
                <w:szCs w:val="20"/>
              </w:rPr>
              <w:t xml:space="preserve">Once-per-combat spent (Rewind)</w:t>
            </w:r>
          </w:p>
        </w:tc>
        <w:tc>
          <w:tcPr>
            <w:tcW w:type="dxa" w:w="6240"/>
            <w:tcMar>
              <w:top w:type="dxa" w:w="60"/>
              <w:left w:type="dxa" w:w="100"/>
              <w:bottom w:type="dxa" w:w="60"/>
              <w:right w:type="dxa" w:w="100"/>
            </w:tcMar>
          </w:tcPr>
          <w:p>
            <w:pPr>
              <w:spacing w:after="40"/>
            </w:pPr>
            <w:r>
              <w:rPr>
                <w:b w:val="false"/>
                <w:bCs w:val="false"/>
                <w:sz w:val="20"/>
                <w:szCs w:val="20"/>
              </w:rPr>
              <w:t xml:space="preserve">Icon dims permanently after firing; before firing it renders with a warning ring — a Herald that hasn't Rewound yet is a different kill decision than one that has.</w:t>
            </w:r>
          </w:p>
        </w:tc>
      </w:tr>
      <w:tr>
        <w:tc>
          <w:tcPr>
            <w:tcW w:type="dxa" w:w="3120"/>
            <w:tcMar>
              <w:top w:type="dxa" w:w="60"/>
              <w:left w:type="dxa" w:w="100"/>
              <w:bottom w:type="dxa" w:w="60"/>
              <w:right w:type="dxa" w:w="100"/>
            </w:tcMar>
          </w:tcPr>
          <w:p>
            <w:pPr>
              <w:spacing w:after="40"/>
            </w:pPr>
            <w:r>
              <w:rPr>
                <w:b w:val="false"/>
                <w:bCs w:val="false"/>
                <w:sz w:val="20"/>
                <w:szCs w:val="20"/>
              </w:rPr>
              <w:t xml:space="preserve">Aura extents</w:t>
            </w:r>
          </w:p>
        </w:tc>
        <w:tc>
          <w:tcPr>
            <w:tcW w:type="dxa" w:w="6240"/>
            <w:tcMar>
              <w:top w:type="dxa" w:w="60"/>
              <w:left w:type="dxa" w:w="100"/>
              <w:bottom w:type="dxa" w:w="60"/>
              <w:right w:type="dxa" w:w="100"/>
            </w:tcMar>
          </w:tcPr>
          <w:p>
            <w:pPr>
              <w:spacing w:after="40"/>
            </w:pPr>
            <w:r>
              <w:rPr>
                <w:b w:val="false"/>
                <w:bCs w:val="false"/>
                <w:sz w:val="20"/>
                <w:szCs w:val="20"/>
              </w:rPr>
              <w:t xml:space="preserve">Grid-tile radius render on hover, §7a.</w:t>
            </w:r>
          </w:p>
        </w:tc>
      </w:tr>
      <w:tr>
        <w:tc>
          <w:tcPr>
            <w:tcW w:type="dxa" w:w="3120"/>
            <w:tcMar>
              <w:top w:type="dxa" w:w="60"/>
              <w:left w:type="dxa" w:w="100"/>
              <w:bottom w:type="dxa" w:w="60"/>
              <w:right w:type="dxa" w:w="100"/>
            </w:tcMar>
          </w:tcPr>
          <w:p>
            <w:pPr>
              <w:spacing w:after="40"/>
            </w:pPr>
            <w:r>
              <w:rPr>
                <w:b w:val="false"/>
                <w:bCs w:val="false"/>
                <w:sz w:val="20"/>
                <w:szCs w:val="20"/>
              </w:rPr>
              <w:t xml:space="preserve">Faction tint legend</w:t>
            </w:r>
          </w:p>
        </w:tc>
        <w:tc>
          <w:tcPr>
            <w:tcW w:type="dxa" w:w="6240"/>
            <w:tcMar>
              <w:top w:type="dxa" w:w="60"/>
              <w:left w:type="dxa" w:w="100"/>
              <w:bottom w:type="dxa" w:w="60"/>
              <w:right w:type="dxa" w:w="100"/>
            </w:tcMar>
          </w:tcPr>
          <w:p>
            <w:pPr>
              <w:spacing w:after="40"/>
            </w:pPr>
            <w:r>
              <w:rPr>
                <w:b w:val="false"/>
                <w:bCs w:val="false"/>
                <w:sz w:val="20"/>
                <w:szCs w:val="20"/>
              </w:rPr>
              <w:t xml:space="preserve">Kingdom chip in the context strip + faction-tinted HP bars + valence tags, §5/§6.</w:t>
            </w:r>
          </w:p>
        </w:tc>
      </w:tr>
      <w:tr>
        <w:tc>
          <w:tcPr>
            <w:tcW w:type="dxa" w:w="3120"/>
            <w:tcMar>
              <w:top w:type="dxa" w:w="60"/>
              <w:left w:type="dxa" w:w="100"/>
              <w:bottom w:type="dxa" w:w="60"/>
              <w:right w:type="dxa" w:w="100"/>
            </w:tcMar>
          </w:tcPr>
          <w:p>
            <w:pPr>
              <w:spacing w:after="40"/>
            </w:pPr>
            <w:r>
              <w:rPr>
                <w:b w:val="false"/>
                <w:bCs w:val="false"/>
                <w:sz w:val="20"/>
                <w:szCs w:val="20"/>
              </w:rPr>
              <w:t xml:space="preserve">Scout/intel unique names</w:t>
            </w:r>
          </w:p>
        </w:tc>
        <w:tc>
          <w:tcPr>
            <w:tcW w:type="dxa" w:w="6240"/>
            <w:tcMar>
              <w:top w:type="dxa" w:w="60"/>
              <w:left w:type="dxa" w:w="100"/>
              <w:bottom w:type="dxa" w:w="60"/>
              <w:right w:type="dxa" w:w="100"/>
            </w:tcMar>
          </w:tcPr>
          <w:p>
            <w:pPr>
              <w:spacing w:after="40"/>
            </w:pPr>
            <w:r>
              <w:rPr>
                <w:b w:val="false"/>
                <w:bCs w:val="false"/>
                <w:sz w:val="20"/>
                <w:szCs w:val="20"/>
              </w:rPr>
              <w:t xml:space="preserve">Deployment intel rows (§11) and the overworld ScoutReportPanel both read ThreatLabel/Name through EncounterDefinition — one small cross-cutting data change, listed in V2's build items.</w:t>
            </w:r>
          </w:p>
        </w:tc>
      </w:tr>
    </w:tbl>
    <w:p>
      <w:pPr>
        <w:pStyle w:val="Heading1"/>
        <w:spacing w:after="160" w:before="360"/>
      </w:pPr>
      <w:r>
        <w:t xml:space="preserve">9. Action Log Grammar</w:t>
      </w:r>
    </w:p>
    <w:p>
      <w:pPr>
        <w:spacing w:after="120"/>
      </w:pPr>
      <w:r>
        <w:t xml:space="preserve">The U-phase exit criteria require 'ability log lines'; this defines them so eight rosters don't invent eight formats. Fixed grammar: [Source] AbilityName: effect (state). Examples: '[Wake-Keeper 1] Requiem: +2 damage (3 stacks)' · '[The Final Service] Deathburst: 2 Honored Dead rise' · '[The Redactor] Redaction Field: Fireburst costs +1'. Source names follow the §6 nameplate policy. Strings are produced by the ability handlers through one FormatLogLine helper — the log is part of the ability framework's contract, not decoration. Movement/attack lines keep their current terse forms.</w:t>
      </w:r>
    </w:p>
    <w:p>
      <w:pPr>
        <w:pStyle w:val="Heading1"/>
        <w:spacing w:after="160" w:before="360"/>
      </w:pPr>
      <w:r>
        <w:t xml:space="preserve">10. Boss Frame &amp; Phases</w:t>
      </w:r>
    </w:p>
    <w:p>
      <w:pPr>
        <w:spacing w:after="120"/>
      </w:pPr>
      <w:r>
        <w:t xml:space="preserve">When a Role=Boss unit spawns: a wide top-center HP bar under the banner with name + title, and phase pips when the encounter defines phases. The betrayal second-phase retinue swap (joren/namer/conductor per units v1.1 §9) telegraphs through this frame: on trigger, the pips advance, the frame's tint shifts toward the corrupted faction's treatment, and a single banner line names the moment ('The Silent Table is served'). The archmagi-as-units content pass will bind here; v2 builds the frame against the Herald of the Conjunction's Rewind as its first phase-like client.</w:t>
      </w:r>
    </w:p>
    <w:p>
      <w:pPr>
        <w:pStyle w:val="Heading1"/>
        <w:spacing w:after="160" w:before="360"/>
      </w:pPr>
      <w:r>
        <w:t xml:space="preserve">11. Deployment Phase</w:t>
      </w:r>
    </w:p>
    <w:p>
      <w:pPr>
        <w:spacing w:after="120"/>
      </w:pPr>
      <w:r>
        <w:t xml:space="preserve">Mechanics unchanged (placement, Backspace reset, Enter/button confirm). The intel rows upgrade from archetype genera to the same row format as the roster: role marker, unique name, ability icon with a one-line telegraph. Deployment is where the faction-roster literacy loop pays off — the player who reads 'The Final Service · Deathburst' before placing units deploys differently, which is the entire point of authoring signature units.</w:t>
      </w:r>
    </w:p>
    <w:p>
      <w:pPr>
        <w:pStyle w:val="Heading1"/>
        <w:spacing w:after="160" w:before="360"/>
      </w:pPr>
      <w:r>
        <w:t xml:space="preserve">12. UITheme Additions &amp; Compatibility Checklist</w:t>
      </w:r>
    </w:p>
    <w:p>
      <w:pPr>
        <w:pStyle w:val="ListParagraph"/>
        <w:numPr>
          <w:ilvl w:val="0"/>
          <w:numId w:val="2"/>
        </w:numPr>
        <w:spacing w:after="60"/>
      </w:pPr>
      <w:r>
        <w:t xml:space="preserve">New UITheme entries: RoleLine, RoleElite, RoleBoss, ValenceKingdom (per-faction tint applied), ValenceBlight (#1A3A5C accent), ChargeReady, ChargeSpent, ThreatRangeOverlay, AuraExtentOverlay, BossBarFill/BossBarBg, ContextStripBg. Plus the standing chore: UITheme.RarityColor() absorbed from ArmoryTab.</w:t>
      </w:r>
    </w:p>
    <w:p>
      <w:pPr>
        <w:pStyle w:val="ListParagraph"/>
        <w:numPr>
          <w:ilvl w:val="0"/>
          <w:numId w:val="2"/>
        </w:numPr>
        <w:spacing w:after="60"/>
      </w:pPr>
      <w:r>
        <w:t xml:space="preserve">All six Mac/Compatibility rules apply to every new element; the pending-state pattern (_pending* fields applied post-BuildUI) is extended to the context strip, boss frame, and roster v2, since encounter data arrives before the deferred build completes.</w:t>
      </w:r>
    </w:p>
    <w:p>
      <w:pPr>
        <w:pStyle w:val="ListParagraph"/>
        <w:numPr>
          <w:ilvl w:val="0"/>
          <w:numId w:val="2"/>
        </w:numPr>
        <w:spacing w:after="60"/>
      </w:pPr>
      <w:r>
        <w:t xml:space="preserve">No ScrollContainer inside any TabContainer; the expanded log panel is a plain PanelContainer + ScrollContainer at top level.</w:t>
      </w:r>
    </w:p>
    <w:p>
      <w:pPr>
        <w:pStyle w:val="Heading1"/>
        <w:spacing w:after="160" w:before="360"/>
      </w:pPr>
      <w:r>
        <w:t xml:space="preserve">13.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4"/>
        <w:gridCol w:w="6656"/>
      </w:tblGrid>
      <w:tr>
        <w:tc>
          <w:tcPr>
            <w:tcW w:type="dxa" w:w="2704"/>
            <w:shd w:fill="E8E4DA" w:val="clear"/>
            <w:tcMar>
              <w:top w:type="dxa" w:w="60"/>
              <w:left w:type="dxa" w:w="100"/>
              <w:bottom w:type="dxa" w:w="60"/>
              <w:right w:type="dxa" w:w="100"/>
            </w:tcMar>
          </w:tcPr>
          <w:p>
            <w:pPr>
              <w:spacing w:after="40"/>
            </w:pPr>
            <w:r>
              <w:rPr>
                <w:b/>
                <w:bCs/>
                <w:sz w:val="20"/>
                <w:szCs w:val="20"/>
              </w:rPr>
              <w:t xml:space="preserve">Component</w:t>
            </w:r>
          </w:p>
        </w:tc>
        <w:tc>
          <w:tcPr>
            <w:tcW w:type="dxa" w:w="6656"/>
            <w:shd w:fill="E8E4DA" w:val="clear"/>
            <w:tcMar>
              <w:top w:type="dxa" w:w="60"/>
              <w:left w:type="dxa" w:w="100"/>
              <w:bottom w:type="dxa" w:w="60"/>
              <w:right w:type="dxa" w:w="100"/>
            </w:tcMar>
          </w:tcPr>
          <w:p>
            <w:pPr>
              <w:spacing w:after="40"/>
            </w:pPr>
            <w:r>
              <w:rPr>
                <w:b/>
                <w:bCs/>
                <w:sz w:val="20"/>
                <w:szCs w:val="20"/>
              </w:rPr>
              <w:t xml:space="preserve">Role</w:t>
            </w:r>
          </w:p>
        </w:tc>
      </w:tr>
      <w:tr>
        <w:tc>
          <w:tcPr>
            <w:tcW w:type="dxa" w:w="2704"/>
            <w:tcMar>
              <w:top w:type="dxa" w:w="60"/>
              <w:left w:type="dxa" w:w="100"/>
              <w:bottom w:type="dxa" w:w="60"/>
              <w:right w:type="dxa" w:w="100"/>
            </w:tcMar>
          </w:tcPr>
          <w:p>
            <w:pPr>
              <w:spacing w:after="40"/>
            </w:pPr>
            <w:r>
              <w:rPr>
                <w:b w:val="false"/>
                <w:bCs w:val="false"/>
                <w:sz w:val="20"/>
                <w:szCs w:val="20"/>
              </w:rPr>
              <w:t xml:space="preserve">CombatUI (modify, staged)</w:t>
            </w:r>
          </w:p>
        </w:tc>
        <w:tc>
          <w:tcPr>
            <w:tcW w:type="dxa" w:w="6656"/>
            <w:tcMar>
              <w:top w:type="dxa" w:w="60"/>
              <w:left w:type="dxa" w:w="100"/>
              <w:bottom w:type="dxa" w:w="60"/>
              <w:right w:type="dxa" w:w="100"/>
            </w:tcMar>
          </w:tcPr>
          <w:p>
            <w:pPr>
              <w:spacing w:after="40"/>
            </w:pPr>
            <w:r>
              <w:rPr>
                <w:b w:val="false"/>
                <w:bCs w:val="false"/>
                <w:sz w:val="20"/>
                <w:szCs w:val="20"/>
              </w:rPr>
              <w:t xml:space="preserve">Region-by-region rebuild per §5 — each V-phase moves one region so the HUD never breaks whole. Signals (EndTurnPressed, ConfirmDeploymentPressed) unchanged.</w:t>
            </w:r>
          </w:p>
        </w:tc>
      </w:tr>
      <w:tr>
        <w:tc>
          <w:tcPr>
            <w:tcW w:type="dxa" w:w="2704"/>
            <w:tcMar>
              <w:top w:type="dxa" w:w="60"/>
              <w:left w:type="dxa" w:w="100"/>
              <w:bottom w:type="dxa" w:w="60"/>
              <w:right w:type="dxa" w:w="100"/>
            </w:tcMar>
          </w:tcPr>
          <w:p>
            <w:pPr>
              <w:spacing w:after="40"/>
            </w:pPr>
            <w:r>
              <w:rPr>
                <w:b w:val="false"/>
                <w:bCs w:val="false"/>
                <w:sz w:val="20"/>
                <w:szCs w:val="20"/>
              </w:rPr>
              <w:t xml:space="preserve">EnemyRosterRow (new Control)</w:t>
            </w:r>
          </w:p>
        </w:tc>
        <w:tc>
          <w:tcPr>
            <w:tcW w:type="dxa" w:w="6656"/>
            <w:tcMar>
              <w:top w:type="dxa" w:w="60"/>
              <w:left w:type="dxa" w:w="100"/>
              <w:bottom w:type="dxa" w:w="60"/>
              <w:right w:type="dxa" w:w="100"/>
            </w:tcMar>
          </w:tcPr>
          <w:p>
            <w:pPr>
              <w:spacing w:after="40"/>
            </w:pPr>
            <w:r>
              <w:rPr>
                <w:b w:val="false"/>
                <w:bCs w:val="false"/>
                <w:sz w:val="20"/>
                <w:szCs w:val="20"/>
              </w:rPr>
              <w:t xml:space="preserve">The §6 row as a reusable control; roster becomes a VBox of rows with a diff-based refresh (the DeckUiManager diff pattern, applied to rows so hover state survives refreshes).</w:t>
            </w:r>
          </w:p>
        </w:tc>
      </w:tr>
      <w:tr>
        <w:tc>
          <w:tcPr>
            <w:tcW w:type="dxa" w:w="2704"/>
            <w:tcMar>
              <w:top w:type="dxa" w:w="60"/>
              <w:left w:type="dxa" w:w="100"/>
              <w:bottom w:type="dxa" w:w="60"/>
              <w:right w:type="dxa" w:w="100"/>
            </w:tcMar>
          </w:tcPr>
          <w:p>
            <w:pPr>
              <w:spacing w:after="40"/>
            </w:pPr>
            <w:r>
              <w:rPr>
                <w:b w:val="false"/>
                <w:bCs w:val="false"/>
                <w:sz w:val="20"/>
                <w:szCs w:val="20"/>
              </w:rPr>
              <w:t xml:space="preserve">UIContent (new static)</w:t>
            </w:r>
          </w:p>
        </w:tc>
        <w:tc>
          <w:tcPr>
            <w:tcW w:type="dxa" w:w="6656"/>
            <w:tcMar>
              <w:top w:type="dxa" w:w="60"/>
              <w:left w:type="dxa" w:w="100"/>
              <w:bottom w:type="dxa" w:w="60"/>
              <w:right w:type="dxa" w:w="100"/>
            </w:tcMar>
          </w:tcPr>
          <w:p>
            <w:pPr>
              <w:spacing w:after="40"/>
            </w:pPr>
            <w:r>
              <w:rPr>
                <w:b w:val="false"/>
                <w:bCs w:val="false"/>
                <w:sz w:val="20"/>
                <w:szCs w:val="20"/>
              </w:rPr>
              <w:t xml:space="preserve">BehaviorKey → plain-language line; AbilityKey → icon + short label; FormatLogLine. Content tables, zero logic.</w:t>
            </w:r>
          </w:p>
        </w:tc>
      </w:tr>
      <w:tr>
        <w:tc>
          <w:tcPr>
            <w:tcW w:type="dxa" w:w="2704"/>
            <w:tcMar>
              <w:top w:type="dxa" w:w="60"/>
              <w:left w:type="dxa" w:w="100"/>
              <w:bottom w:type="dxa" w:w="60"/>
              <w:right w:type="dxa" w:w="100"/>
            </w:tcMar>
          </w:tcPr>
          <w:p>
            <w:pPr>
              <w:spacing w:after="40"/>
            </w:pPr>
            <w:r>
              <w:rPr>
                <w:b w:val="false"/>
                <w:bCs w:val="false"/>
                <w:sz w:val="20"/>
                <w:szCs w:val="20"/>
              </w:rPr>
              <w:t xml:space="preserve">ThreatRangeCalculator (new)</w:t>
            </w:r>
          </w:p>
        </w:tc>
        <w:tc>
          <w:tcPr>
            <w:tcW w:type="dxa" w:w="6656"/>
            <w:tcMar>
              <w:top w:type="dxa" w:w="60"/>
              <w:left w:type="dxa" w:w="100"/>
              <w:bottom w:type="dxa" w:w="60"/>
              <w:right w:type="dxa" w:w="100"/>
            </w:tcMar>
          </w:tcPr>
          <w:p>
            <w:pPr>
              <w:spacing w:after="40"/>
            </w:pPr>
            <w:r>
              <w:rPr>
                <w:b w:val="false"/>
                <w:bCs w:val="false"/>
                <w:sz w:val="20"/>
                <w:szCs w:val="20"/>
              </w:rPr>
              <w:t xml:space="preserve">Pure function: (unit, grid) → reachable-and-attackable tile set from speed/range/tags. Rendered through the existing SetRangeHighlight machinery with the new overlay colors. No AI calls.</w:t>
            </w:r>
          </w:p>
        </w:tc>
      </w:tr>
      <w:tr>
        <w:tc>
          <w:tcPr>
            <w:tcW w:type="dxa" w:w="2704"/>
            <w:tcMar>
              <w:top w:type="dxa" w:w="60"/>
              <w:left w:type="dxa" w:w="100"/>
              <w:bottom w:type="dxa" w:w="60"/>
              <w:right w:type="dxa" w:w="100"/>
            </w:tcMar>
          </w:tcPr>
          <w:p>
            <w:pPr>
              <w:spacing w:after="40"/>
            </w:pPr>
            <w:r>
              <w:rPr>
                <w:b w:val="false"/>
                <w:bCs w:val="false"/>
                <w:sz w:val="20"/>
                <w:szCs w:val="20"/>
              </w:rPr>
              <w:t xml:space="preserve">Unit ability state (from units §12)</w:t>
            </w:r>
          </w:p>
        </w:tc>
        <w:tc>
          <w:tcPr>
            <w:tcW w:type="dxa" w:w="6656"/>
            <w:tcMar>
              <w:top w:type="dxa" w:w="60"/>
              <w:left w:type="dxa" w:w="100"/>
              <w:bottom w:type="dxa" w:w="60"/>
              <w:right w:type="dxa" w:w="100"/>
            </w:tcMar>
          </w:tcPr>
          <w:p>
            <w:pPr>
              <w:spacing w:after="40"/>
            </w:pPr>
            <w:r>
              <w:rPr>
                <w:b w:val="false"/>
                <w:bCs w:val="false"/>
                <w:sz w:val="20"/>
                <w:szCs w:val="20"/>
              </w:rPr>
              <w:t xml:space="preserve">Read-only bindings: per-round flags, once-per-combat flags, EveryN counters, charge cycle, mimic sequence index.</w:t>
            </w:r>
          </w:p>
        </w:tc>
      </w:tr>
      <w:tr>
        <w:tc>
          <w:tcPr>
            <w:tcW w:type="dxa" w:w="2704"/>
            <w:tcMar>
              <w:top w:type="dxa" w:w="60"/>
              <w:left w:type="dxa" w:w="100"/>
              <w:bottom w:type="dxa" w:w="60"/>
              <w:right w:type="dxa" w:w="100"/>
            </w:tcMar>
          </w:tcPr>
          <w:p>
            <w:pPr>
              <w:spacing w:after="40"/>
            </w:pPr>
            <w:r>
              <w:rPr>
                <w:b w:val="false"/>
                <w:bCs w:val="false"/>
                <w:sz w:val="20"/>
                <w:szCs w:val="20"/>
              </w:rPr>
              <w:t xml:space="preserve">WorldCombatContext (from environments §8)</w:t>
            </w:r>
          </w:p>
        </w:tc>
        <w:tc>
          <w:tcPr>
            <w:tcW w:type="dxa" w:w="6656"/>
            <w:tcMar>
              <w:top w:type="dxa" w:w="60"/>
              <w:left w:type="dxa" w:w="100"/>
              <w:bottom w:type="dxa" w:w="60"/>
              <w:right w:type="dxa" w:w="100"/>
            </w:tcMar>
          </w:tcPr>
          <w:p>
            <w:pPr>
              <w:spacing w:after="40"/>
            </w:pPr>
            <w:r>
              <w:rPr>
                <w:b w:val="false"/>
                <w:bCs w:val="false"/>
                <w:sz w:val="20"/>
                <w:szCs w:val="20"/>
              </w:rPr>
              <w:t xml:space="preserve">Context strip bindings: terrain/theme name, KingdomId → FactionColorHex, SettlementIndex, corruption byte.</w:t>
            </w:r>
          </w:p>
        </w:tc>
      </w:tr>
      <w:tr>
        <w:tc>
          <w:tcPr>
            <w:tcW w:type="dxa" w:w="2704"/>
            <w:tcMar>
              <w:top w:type="dxa" w:w="60"/>
              <w:left w:type="dxa" w:w="100"/>
              <w:bottom w:type="dxa" w:w="60"/>
              <w:right w:type="dxa" w:w="100"/>
            </w:tcMar>
          </w:tcPr>
          <w:p>
            <w:pPr>
              <w:spacing w:after="40"/>
            </w:pPr>
            <w:r>
              <w:rPr>
                <w:b w:val="false"/>
                <w:bCs w:val="false"/>
                <w:sz w:val="20"/>
                <w:szCs w:val="20"/>
              </w:rPr>
              <w:t xml:space="preserve">Project settings (one-time)</w:t>
            </w:r>
          </w:p>
        </w:tc>
        <w:tc>
          <w:tcPr>
            <w:tcW w:type="dxa" w:w="6656"/>
            <w:tcMar>
              <w:top w:type="dxa" w:w="60"/>
              <w:left w:type="dxa" w:w="100"/>
              <w:bottom w:type="dxa" w:w="60"/>
              <w:right w:type="dxa" w:w="100"/>
            </w:tcMar>
          </w:tcPr>
          <w:p>
            <w:pPr>
              <w:spacing w:after="40"/>
            </w:pPr>
            <w:r>
              <w:rPr>
                <w:b w:val="false"/>
                <w:bCs w:val="false"/>
                <w:sz w:val="20"/>
                <w:szCs w:val="20"/>
              </w:rPr>
              <w:t xml:space="preserve">canvas_items stretch, 1920×1080 base, 1280×720 minimum. DeckUiManager hand fractions → UITheme design-space rect constants.</w:t>
            </w:r>
          </w:p>
        </w:tc>
      </w:tr>
    </w:tbl>
    <w:p>
      <w:pPr>
        <w:pStyle w:val="Heading1"/>
        <w:spacing w:after="160" w:before="360"/>
      </w:pPr>
      <w:r>
        <w:t xml:space="preserve">14.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4784"/>
        <w:gridCol w:w="3640"/>
      </w:tblGrid>
      <w:tr>
        <w:tc>
          <w:tcPr>
            <w:tcW w:type="dxa" w:w="936"/>
            <w:shd w:fill="E8E4DA" w:val="clear"/>
            <w:tcMar>
              <w:top w:type="dxa" w:w="60"/>
              <w:left w:type="dxa" w:w="100"/>
              <w:bottom w:type="dxa" w:w="60"/>
              <w:right w:type="dxa" w:w="100"/>
            </w:tcMar>
          </w:tcPr>
          <w:p>
            <w:pPr>
              <w:spacing w:after="40"/>
            </w:pPr>
            <w:r>
              <w:rPr>
                <w:b/>
                <w:bCs/>
                <w:sz w:val="20"/>
                <w:szCs w:val="20"/>
              </w:rPr>
              <w:t xml:space="preserve">Phase</w:t>
            </w:r>
          </w:p>
        </w:tc>
        <w:tc>
          <w:tcPr>
            <w:tcW w:type="dxa" w:w="4784"/>
            <w:shd w:fill="E8E4DA" w:val="clear"/>
            <w:tcMar>
              <w:top w:type="dxa" w:w="60"/>
              <w:left w:type="dxa" w:w="100"/>
              <w:bottom w:type="dxa" w:w="60"/>
              <w:right w:type="dxa" w:w="100"/>
            </w:tcMar>
          </w:tcPr>
          <w:p>
            <w:pPr>
              <w:spacing w:after="40"/>
            </w:pPr>
            <w:r>
              <w:rPr>
                <w:b/>
                <w:bCs/>
                <w:sz w:val="20"/>
                <w:szCs w:val="20"/>
              </w:rPr>
              <w:t xml:space="preserve">Contents</w:t>
            </w:r>
          </w:p>
        </w:tc>
        <w:tc>
          <w:tcPr>
            <w:tcW w:type="dxa" w:w="3640"/>
            <w:shd w:fill="E8E4DA" w:val="clear"/>
            <w:tcMar>
              <w:top w:type="dxa" w:w="60"/>
              <w:left w:type="dxa" w:w="100"/>
              <w:bottom w:type="dxa" w:w="60"/>
              <w:right w:type="dxa" w:w="100"/>
            </w:tcMar>
          </w:tcPr>
          <w:p>
            <w:pPr>
              <w:spacing w:after="40"/>
            </w:pPr>
            <w:r>
              <w:rPr>
                <w:b/>
                <w:bCs/>
                <w:sz w:val="20"/>
                <w:szCs w:val="20"/>
              </w:rPr>
              <w:t xml:space="preserve">Depends on / exit</w:t>
            </w:r>
          </w:p>
        </w:tc>
      </w:tr>
      <w:tr>
        <w:tc>
          <w:tcPr>
            <w:tcW w:type="dxa" w:w="936"/>
            <w:tcMar>
              <w:top w:type="dxa" w:w="60"/>
              <w:left w:type="dxa" w:w="100"/>
              <w:bottom w:type="dxa" w:w="60"/>
              <w:right w:type="dxa" w:w="100"/>
            </w:tcMar>
          </w:tcPr>
          <w:p>
            <w:pPr>
              <w:spacing w:after="40"/>
            </w:pPr>
            <w:r>
              <w:rPr>
                <w:b w:val="false"/>
                <w:bCs w:val="false"/>
                <w:sz w:val="20"/>
                <w:szCs w:val="20"/>
              </w:rPr>
              <w:t xml:space="preserve">V1</w:t>
            </w:r>
          </w:p>
        </w:tc>
        <w:tc>
          <w:tcPr>
            <w:tcW w:type="dxa" w:w="4784"/>
            <w:tcMar>
              <w:top w:type="dxa" w:w="60"/>
              <w:left w:type="dxa" w:w="100"/>
              <w:bottom w:type="dxa" w:w="60"/>
              <w:right w:type="dxa" w:w="100"/>
            </w:tcMar>
          </w:tcPr>
          <w:p>
            <w:pPr>
              <w:spacing w:after="40"/>
            </w:pPr>
            <w:r>
              <w:rPr>
                <w:b w:val="false"/>
                <w:bCs w:val="false"/>
                <w:sz w:val="20"/>
                <w:szCs w:val="20"/>
              </w:rPr>
              <w:t xml:space="preserve">Resolution ruling (stretch mode + design-space constants, hand bounds migrated) + layout redistribution: banner to top center, End Turn to bottom right, log ticker + party chips to bottom left, left panel slimmed.</w:t>
            </w:r>
          </w:p>
        </w:tc>
        <w:tc>
          <w:tcPr>
            <w:tcW w:type="dxa" w:w="3640"/>
            <w:tcMar>
              <w:top w:type="dxa" w:w="60"/>
              <w:left w:type="dxa" w:w="100"/>
              <w:bottom w:type="dxa" w:w="60"/>
              <w:right w:type="dxa" w:w="100"/>
            </w:tcMar>
          </w:tcPr>
          <w:p>
            <w:pPr>
              <w:spacing w:after="40"/>
            </w:pPr>
            <w:r>
              <w:rPr>
                <w:b w:val="false"/>
                <w:bCs w:val="false"/>
                <w:sz w:val="20"/>
                <w:szCs w:val="20"/>
              </w:rPr>
              <w:t xml:space="preserve">No U/E dependency — can start immediately. Exit: the HUD is correct at 1280×720, 1920×1080, and a Retina Mac window, verified by resizing live; all existing flows (deploy, cast, end turn, victory/defeat) unchanged.</w:t>
            </w:r>
          </w:p>
        </w:tc>
      </w:tr>
      <w:tr>
        <w:tc>
          <w:tcPr>
            <w:tcW w:type="dxa" w:w="936"/>
            <w:tcMar>
              <w:top w:type="dxa" w:w="60"/>
              <w:left w:type="dxa" w:w="100"/>
              <w:bottom w:type="dxa" w:w="60"/>
              <w:right w:type="dxa" w:w="100"/>
            </w:tcMar>
          </w:tcPr>
          <w:p>
            <w:pPr>
              <w:spacing w:after="40"/>
            </w:pPr>
            <w:r>
              <w:rPr>
                <w:b w:val="false"/>
                <w:bCs w:val="false"/>
                <w:sz w:val="20"/>
                <w:szCs w:val="20"/>
              </w:rPr>
              <w:t xml:space="preserve">V2</w:t>
            </w:r>
          </w:p>
        </w:tc>
        <w:tc>
          <w:tcPr>
            <w:tcW w:type="dxa" w:w="4784"/>
            <w:tcMar>
              <w:top w:type="dxa" w:w="60"/>
              <w:left w:type="dxa" w:w="100"/>
              <w:bottom w:type="dxa" w:w="60"/>
              <w:right w:type="dxa" w:w="100"/>
            </w:tcMar>
          </w:tcPr>
          <w:p>
            <w:pPr>
              <w:spacing w:after="40"/>
            </w:pPr>
            <w:r>
              <w:rPr>
                <w:b w:val="false"/>
                <w:bCs w:val="false"/>
                <w:sz w:val="20"/>
                <w:szCs w:val="20"/>
              </w:rPr>
              <w:t xml:space="preserve">EnemyRosterRow + nameplate policy + faction-tinted bars + active-enemy marker + inspect panel behavior/ability blocks + threat-range overlay + deployment intel row upgrade + ScoutReportPanel name pass-through.</w:t>
            </w:r>
          </w:p>
        </w:tc>
        <w:tc>
          <w:tcPr>
            <w:tcW w:type="dxa" w:w="3640"/>
            <w:tcMar>
              <w:top w:type="dxa" w:w="60"/>
              <w:left w:type="dxa" w:w="100"/>
              <w:bottom w:type="dxa" w:w="60"/>
              <w:right w:type="dxa" w:w="100"/>
            </w:tcMar>
          </w:tcPr>
          <w:p>
            <w:pPr>
              <w:spacing w:after="40"/>
            </w:pPr>
            <w:r>
              <w:rPr>
                <w:b w:val="false"/>
                <w:bCs w:val="false"/>
                <w:sz w:val="20"/>
                <w:szCs w:val="20"/>
              </w:rPr>
              <w:t xml:space="preserve">Needs U1–U2. Exit: a mixed encounter (line + elite) reads correctly at every ladder rung (P1); threat overlay matches actual reach for all five legacy keys + stalker.</w:t>
            </w:r>
          </w:p>
        </w:tc>
      </w:tr>
      <w:tr>
        <w:tc>
          <w:tcPr>
            <w:tcW w:type="dxa" w:w="936"/>
            <w:tcMar>
              <w:top w:type="dxa" w:w="60"/>
              <w:left w:type="dxa" w:w="100"/>
              <w:bottom w:type="dxa" w:w="60"/>
              <w:right w:type="dxa" w:w="100"/>
            </w:tcMar>
          </w:tcPr>
          <w:p>
            <w:pPr>
              <w:spacing w:after="40"/>
            </w:pPr>
            <w:r>
              <w:rPr>
                <w:b w:val="false"/>
                <w:bCs w:val="false"/>
                <w:sz w:val="20"/>
                <w:szCs w:val="20"/>
              </w:rPr>
              <w:t xml:space="preserve">V3</w:t>
            </w:r>
          </w:p>
        </w:tc>
        <w:tc>
          <w:tcPr>
            <w:tcW w:type="dxa" w:w="4784"/>
            <w:tcMar>
              <w:top w:type="dxa" w:w="60"/>
              <w:left w:type="dxa" w:w="100"/>
              <w:bottom w:type="dxa" w:w="60"/>
              <w:right w:type="dxa" w:w="100"/>
            </w:tcMar>
          </w:tcPr>
          <w:p>
            <w:pPr>
              <w:spacing w:after="40"/>
            </w:pPr>
            <w:r>
              <w:rPr>
                <w:b w:val="false"/>
                <w:bCs w:val="false"/>
                <w:sz w:val="20"/>
                <w:szCs w:val="20"/>
              </w:rPr>
              <w:t xml:space="preserve">Ability state widgets (§8) + aura hover extents + log grammar via FormatLogLine + the §7c stack panel + the R22 damage preview (real-resolver simulation mode), landing per-roster as U3–U5 ship keys.</w:t>
            </w:r>
          </w:p>
        </w:tc>
        <w:tc>
          <w:tcPr>
            <w:tcW w:type="dxa" w:w="3640"/>
            <w:tcMar>
              <w:top w:type="dxa" w:w="60"/>
              <w:left w:type="dxa" w:w="100"/>
              <w:bottom w:type="dxa" w:w="60"/>
              <w:right w:type="dxa" w:w="100"/>
            </w:tcMar>
          </w:tcPr>
          <w:p>
            <w:pPr>
              <w:spacing w:after="40"/>
            </w:pPr>
            <w:r>
              <w:rPr>
                <w:b w:val="false"/>
                <w:bCs w:val="false"/>
                <w:sz w:val="20"/>
                <w:szCs w:val="20"/>
              </w:rPr>
              <w:t xml:space="preserve">Tracks U3–U5. Exit: Deathburst appears on the stack strip and auto-passes cleanly with no response in hand; Requiem stacks in the log; the damage preview matches actual resolution on 20 spot-checked casts; the warning glyph shows against an unspent Mirrorstep.</w:t>
            </w:r>
          </w:p>
        </w:tc>
      </w:tr>
      <w:tr>
        <w:tc>
          <w:tcPr>
            <w:tcW w:type="dxa" w:w="936"/>
            <w:tcMar>
              <w:top w:type="dxa" w:w="60"/>
              <w:left w:type="dxa" w:w="100"/>
              <w:bottom w:type="dxa" w:w="60"/>
              <w:right w:type="dxa" w:w="100"/>
            </w:tcMar>
          </w:tcPr>
          <w:p>
            <w:pPr>
              <w:spacing w:after="40"/>
            </w:pPr>
            <w:r>
              <w:rPr>
                <w:b w:val="false"/>
                <w:bCs w:val="false"/>
                <w:sz w:val="20"/>
                <w:szCs w:val="20"/>
              </w:rPr>
              <w:t xml:space="preserve">V4</w:t>
            </w:r>
          </w:p>
        </w:tc>
        <w:tc>
          <w:tcPr>
            <w:tcW w:type="dxa" w:w="4784"/>
            <w:tcMar>
              <w:top w:type="dxa" w:w="60"/>
              <w:left w:type="dxa" w:w="100"/>
              <w:bottom w:type="dxa" w:w="60"/>
              <w:right w:type="dxa" w:w="100"/>
            </w:tcMar>
          </w:tcPr>
          <w:p>
            <w:pPr>
              <w:spacing w:after="40"/>
            </w:pPr>
            <w:r>
              <w:rPr>
                <w:b w:val="false"/>
                <w:bCs w:val="false"/>
                <w:sz w:val="20"/>
                <w:szCs w:val="20"/>
              </w:rPr>
              <w:t xml:space="preserve">Context strip: location line, kingdom chip, corruption icon; valence tags on roster rows — kingdom-aligned vs corrupted is echo-relevant EVERYWHERE, not only in settlements, so the tags survive the R11 deferral. The Witnessed badge and settlement stakes defer with the settlement module.</w:t>
            </w:r>
          </w:p>
        </w:tc>
        <w:tc>
          <w:tcPr>
            <w:tcW w:type="dxa" w:w="3640"/>
            <w:tcMar>
              <w:top w:type="dxa" w:w="60"/>
              <w:left w:type="dxa" w:w="100"/>
              <w:bottom w:type="dxa" w:w="60"/>
              <w:right w:type="dxa" w:w="100"/>
            </w:tcMar>
          </w:tcPr>
          <w:p>
            <w:pPr>
              <w:spacing w:after="40"/>
            </w:pPr>
            <w:r>
              <w:rPr>
                <w:b w:val="false"/>
                <w:bCs w:val="false"/>
                <w:sz w:val="20"/>
                <w:szCs w:val="20"/>
              </w:rPr>
              <w:t xml:space="preserve">Needs E1 for the context payload. Exit: a wilderness fight against mixed kingdom + corrupted enemies shows per-unit valence before the kill; the badge ships when settlements do.</w:t>
            </w:r>
          </w:p>
        </w:tc>
      </w:tr>
      <w:tr>
        <w:tc>
          <w:tcPr>
            <w:tcW w:type="dxa" w:w="936"/>
            <w:tcMar>
              <w:top w:type="dxa" w:w="60"/>
              <w:left w:type="dxa" w:w="100"/>
              <w:bottom w:type="dxa" w:w="60"/>
              <w:right w:type="dxa" w:w="100"/>
            </w:tcMar>
          </w:tcPr>
          <w:p>
            <w:pPr>
              <w:spacing w:after="40"/>
            </w:pPr>
            <w:r>
              <w:rPr>
                <w:b w:val="false"/>
                <w:bCs w:val="false"/>
                <w:sz w:val="20"/>
                <w:szCs w:val="20"/>
              </w:rPr>
              <w:t xml:space="preserve">V5</w:t>
            </w:r>
          </w:p>
        </w:tc>
        <w:tc>
          <w:tcPr>
            <w:tcW w:type="dxa" w:w="4784"/>
            <w:tcMar>
              <w:top w:type="dxa" w:w="60"/>
              <w:left w:type="dxa" w:w="100"/>
              <w:bottom w:type="dxa" w:w="60"/>
              <w:right w:type="dxa" w:w="100"/>
            </w:tcMar>
          </w:tcPr>
          <w:p>
            <w:pPr>
              <w:spacing w:after="40"/>
            </w:pPr>
            <w:r>
              <w:rPr>
                <w:b w:val="false"/>
                <w:bCs w:val="false"/>
                <w:sz w:val="20"/>
                <w:szCs w:val="20"/>
              </w:rPr>
              <w:t xml:space="preserve">Boss frame + phase pips + retinue-swap telegraph.</w:t>
            </w:r>
          </w:p>
        </w:tc>
        <w:tc>
          <w:tcPr>
            <w:tcW w:type="dxa" w:w="3640"/>
            <w:tcMar>
              <w:top w:type="dxa" w:w="60"/>
              <w:left w:type="dxa" w:w="100"/>
              <w:bottom w:type="dxa" w:w="60"/>
              <w:right w:type="dxa" w:w="100"/>
            </w:tcMar>
          </w:tcPr>
          <w:p>
            <w:pPr>
              <w:spacing w:after="40"/>
            </w:pPr>
            <w:r>
              <w:rPr>
                <w:b w:val="false"/>
                <w:bCs w:val="false"/>
                <w:sz w:val="20"/>
                <w:szCs w:val="20"/>
              </w:rPr>
              <w:t xml:space="preserve">Needs U6. Exit: the Herald's Rewind renders as a phase event; one betrayal second-phase fight telegraphs its swap through the frame.</w:t>
            </w:r>
          </w:p>
        </w:tc>
      </w:tr>
    </w:tbl>
    <w:p>
      <w:pPr>
        <w:pStyle w:val="Heading1"/>
        <w:spacing w:after="160" w:before="360"/>
      </w:pPr>
      <w:r>
        <w:t xml:space="preserve">15.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5408"/>
        <w:gridCol w:w="3328"/>
      </w:tblGrid>
      <w:tr>
        <w:tc>
          <w:tcPr>
            <w:tcW w:type="dxa" w:w="624"/>
            <w:shd w:fill="E8E4DA" w:val="clear"/>
            <w:tcMar>
              <w:top w:type="dxa" w:w="60"/>
              <w:left w:type="dxa" w:w="100"/>
              <w:bottom w:type="dxa" w:w="60"/>
              <w:right w:type="dxa" w:w="100"/>
            </w:tcMar>
          </w:tcPr>
          <w:p>
            <w:pPr>
              <w:spacing w:after="40"/>
            </w:pPr>
            <w:r>
              <w:rPr>
                <w:b/>
                <w:bCs/>
                <w:sz w:val="20"/>
                <w:szCs w:val="20"/>
              </w:rPr>
              <w:t xml:space="preserve">#</w:t>
            </w:r>
          </w:p>
        </w:tc>
        <w:tc>
          <w:tcPr>
            <w:tcW w:type="dxa" w:w="5408"/>
            <w:shd w:fill="E8E4DA" w:val="clear"/>
            <w:tcMar>
              <w:top w:type="dxa" w:w="60"/>
              <w:left w:type="dxa" w:w="100"/>
              <w:bottom w:type="dxa" w:w="60"/>
              <w:right w:type="dxa" w:w="100"/>
            </w:tcMar>
          </w:tcPr>
          <w:p>
            <w:pPr>
              <w:spacing w:after="40"/>
            </w:pPr>
            <w:r>
              <w:rPr>
                <w:b/>
                <w:bCs/>
                <w:sz w:val="20"/>
                <w:szCs w:val="20"/>
              </w:rPr>
              <w:t xml:space="preserve">Decision</w:t>
            </w:r>
          </w:p>
        </w:tc>
        <w:tc>
          <w:tcPr>
            <w:tcW w:type="dxa" w:w="3328"/>
            <w:shd w:fill="E8E4DA" w:val="clear"/>
            <w:tcMar>
              <w:top w:type="dxa" w:w="60"/>
              <w:left w:type="dxa" w:w="100"/>
              <w:bottom w:type="dxa" w:w="60"/>
              <w:right w:type="dxa" w:w="100"/>
            </w:tcMar>
          </w:tcPr>
          <w:p>
            <w:pPr>
              <w:spacing w:after="40"/>
            </w:pPr>
            <w:r>
              <w:rPr>
                <w:b/>
                <w:bCs/>
                <w:sz w:val="20"/>
                <w:szCs w:val="20"/>
              </w:rPr>
              <w:t xml:space="preserve">Recommendation · confidence</w:t>
            </w:r>
          </w:p>
        </w:tc>
      </w:tr>
      <w:tr>
        <w:tc>
          <w:tcPr>
            <w:tcW w:type="dxa" w:w="624"/>
            <w:tcMar>
              <w:top w:type="dxa" w:w="60"/>
              <w:left w:type="dxa" w:w="100"/>
              <w:bottom w:type="dxa" w:w="60"/>
              <w:right w:type="dxa" w:w="100"/>
            </w:tcMar>
          </w:tcPr>
          <w:p>
            <w:pPr>
              <w:spacing w:after="40"/>
            </w:pPr>
            <w:r>
              <w:rPr>
                <w:b w:val="false"/>
                <w:bCs w:val="false"/>
                <w:sz w:val="20"/>
                <w:szCs w:val="20"/>
              </w:rPr>
              <w:t xml:space="preserve">1</w:t>
            </w:r>
          </w:p>
        </w:tc>
        <w:tc>
          <w:tcPr>
            <w:tcW w:type="dxa" w:w="5408"/>
            <w:tcMar>
              <w:top w:type="dxa" w:w="60"/>
              <w:left w:type="dxa" w:w="100"/>
              <w:bottom w:type="dxa" w:w="60"/>
              <w:right w:type="dxa" w:w="100"/>
            </w:tcMar>
          </w:tcPr>
          <w:p>
            <w:pPr>
              <w:spacing w:after="40"/>
            </w:pPr>
            <w:r>
              <w:rPr>
                <w:b w:val="false"/>
                <w:bCs w:val="false"/>
                <w:sz w:val="20"/>
                <w:szCs w:val="20"/>
              </w:rPr>
              <w:t xml:space="preserve">Threat-range overlay — adopt as specced, or reject even the danger-zone level of preview?</w:t>
            </w:r>
          </w:p>
        </w:tc>
        <w:tc>
          <w:tcPr>
            <w:tcW w:type="dxa" w:w="3328"/>
            <w:tcMar>
              <w:top w:type="dxa" w:w="60"/>
              <w:left w:type="dxa" w:w="100"/>
              <w:bottom w:type="dxa" w:w="60"/>
              <w:right w:type="dxa" w:w="100"/>
            </w:tcMar>
          </w:tcPr>
          <w:p>
            <w:pPr>
              <w:spacing w:after="40"/>
            </w:pPr>
            <w:r>
              <w:rPr>
                <w:b w:val="false"/>
                <w:bCs w:val="false"/>
                <w:sz w:val="20"/>
                <w:szCs w:val="20"/>
              </w:rPr>
              <w:t xml:space="preserve">RULED (R20): adopted.</w:t>
            </w:r>
          </w:p>
        </w:tc>
      </w:tr>
      <w:tr>
        <w:tc>
          <w:tcPr>
            <w:tcW w:type="dxa" w:w="624"/>
            <w:tcMar>
              <w:top w:type="dxa" w:w="60"/>
              <w:left w:type="dxa" w:w="100"/>
              <w:bottom w:type="dxa" w:w="60"/>
              <w:right w:type="dxa" w:w="100"/>
            </w:tcMar>
          </w:tcPr>
          <w:p>
            <w:pPr>
              <w:spacing w:after="40"/>
            </w:pPr>
            <w:r>
              <w:rPr>
                <w:b w:val="false"/>
                <w:bCs w:val="false"/>
                <w:sz w:val="20"/>
                <w:szCs w:val="20"/>
              </w:rPr>
              <w:t xml:space="preserve">2</w:t>
            </w:r>
          </w:p>
        </w:tc>
        <w:tc>
          <w:tcPr>
            <w:tcW w:type="dxa" w:w="5408"/>
            <w:tcMar>
              <w:top w:type="dxa" w:w="60"/>
              <w:left w:type="dxa" w:w="100"/>
              <w:bottom w:type="dxa" w:w="60"/>
              <w:right w:type="dxa" w:w="100"/>
            </w:tcMar>
          </w:tcPr>
          <w:p>
            <w:pPr>
              <w:spacing w:after="40"/>
            </w:pPr>
            <w:r>
              <w:rPr>
                <w:b w:val="false"/>
                <w:bCs w:val="false"/>
                <w:sz w:val="20"/>
                <w:szCs w:val="20"/>
              </w:rPr>
              <w:t xml:space="preserve">Damage preview on card-drag over a target (predicted numbers).</w:t>
            </w:r>
          </w:p>
        </w:tc>
        <w:tc>
          <w:tcPr>
            <w:tcW w:type="dxa" w:w="3328"/>
            <w:tcMar>
              <w:top w:type="dxa" w:w="60"/>
              <w:left w:type="dxa" w:w="100"/>
              <w:bottom w:type="dxa" w:w="60"/>
              <w:right w:type="dxa" w:w="100"/>
            </w:tcMar>
          </w:tcPr>
          <w:p>
            <w:pPr>
              <w:spacing w:after="40"/>
            </w:pPr>
            <w:r>
              <w:rPr>
                <w:b w:val="false"/>
                <w:bCs w:val="false"/>
                <w:sz w:val="20"/>
                <w:szCs w:val="20"/>
              </w:rPr>
              <w:t xml:space="preserve">RULED (R22): adopted, against the original deferral — position recorded. Mitigation is architectural: the preview runs the REAL damage resolver in a no-mutation simulation mode (never a parallel formula, so it structurally cannot drift), includes all deterministic readable state (stats, armor, attunement tier, auras, debuffs), and shows a warning glyph when the number could be invalidated by an unspent avoidance (Mirrorstep) or an open stack. Ships V3, after the trigger bus exists.</w:t>
            </w:r>
          </w:p>
        </w:tc>
      </w:tr>
      <w:tr>
        <w:tc>
          <w:tcPr>
            <w:tcW w:type="dxa" w:w="624"/>
            <w:tcMar>
              <w:top w:type="dxa" w:w="60"/>
              <w:left w:type="dxa" w:w="100"/>
              <w:bottom w:type="dxa" w:w="60"/>
              <w:right w:type="dxa" w:w="100"/>
            </w:tcMar>
          </w:tcPr>
          <w:p>
            <w:pPr>
              <w:spacing w:after="40"/>
            </w:pPr>
            <w:r>
              <w:rPr>
                <w:b w:val="false"/>
                <w:bCs w:val="false"/>
                <w:sz w:val="20"/>
                <w:szCs w:val="20"/>
              </w:rPr>
              <w:t xml:space="preserve">3</w:t>
            </w:r>
          </w:p>
        </w:tc>
        <w:tc>
          <w:tcPr>
            <w:tcW w:type="dxa" w:w="5408"/>
            <w:tcMar>
              <w:top w:type="dxa" w:w="60"/>
              <w:left w:type="dxa" w:w="100"/>
              <w:bottom w:type="dxa" w:w="60"/>
              <w:right w:type="dxa" w:w="100"/>
            </w:tcMar>
          </w:tcPr>
          <w:p>
            <w:pPr>
              <w:spacing w:after="40"/>
            </w:pPr>
            <w:r>
              <w:rPr>
                <w:b w:val="false"/>
                <w:bCs w:val="false"/>
                <w:sz w:val="20"/>
                <w:szCs w:val="20"/>
              </w:rPr>
              <w:t xml:space="preserve">Stack/priority visibility (State.Priority, ResolveTop are currently console-only).</w:t>
            </w:r>
          </w:p>
        </w:tc>
        <w:tc>
          <w:tcPr>
            <w:tcW w:type="dxa" w:w="3328"/>
            <w:tcMar>
              <w:top w:type="dxa" w:w="60"/>
              <w:left w:type="dxa" w:w="100"/>
              <w:bottom w:type="dxa" w:w="60"/>
              <w:right w:type="dxa" w:w="100"/>
            </w:tcMar>
          </w:tcPr>
          <w:p>
            <w:pPr>
              <w:spacing w:after="40"/>
            </w:pPr>
            <w:r>
              <w:rPr>
                <w:b w:val="false"/>
                <w:bCs w:val="false"/>
                <w:sz w:val="20"/>
                <w:szCs w:val="20"/>
              </w:rPr>
              <w:t xml:space="preserve">RULED (R3): the bundle fired — enemy abilities join the stack, so the stack earns its UI. §7c, V3.</w:t>
            </w:r>
          </w:p>
        </w:tc>
      </w:tr>
      <w:tr>
        <w:tc>
          <w:tcPr>
            <w:tcW w:type="dxa" w:w="624"/>
            <w:tcMar>
              <w:top w:type="dxa" w:w="60"/>
              <w:left w:type="dxa" w:w="100"/>
              <w:bottom w:type="dxa" w:w="60"/>
              <w:right w:type="dxa" w:w="100"/>
            </w:tcMar>
          </w:tcPr>
          <w:p>
            <w:pPr>
              <w:spacing w:after="40"/>
            </w:pPr>
            <w:r>
              <w:rPr>
                <w:b w:val="false"/>
                <w:bCs w:val="false"/>
                <w:sz w:val="20"/>
                <w:szCs w:val="20"/>
              </w:rPr>
              <w:t xml:space="preserve">4</w:t>
            </w:r>
          </w:p>
        </w:tc>
        <w:tc>
          <w:tcPr>
            <w:tcW w:type="dxa" w:w="5408"/>
            <w:tcMar>
              <w:top w:type="dxa" w:w="60"/>
              <w:left w:type="dxa" w:w="100"/>
              <w:bottom w:type="dxa" w:w="60"/>
              <w:right w:type="dxa" w:w="100"/>
            </w:tcMar>
          </w:tcPr>
          <w:p>
            <w:pPr>
              <w:spacing w:after="40"/>
            </w:pPr>
            <w:r>
              <w:rPr>
                <w:b w:val="false"/>
                <w:bCs w:val="false"/>
                <w:sz w:val="20"/>
                <w:szCs w:val="20"/>
              </w:rPr>
              <w:t xml:space="preserve">Portraits.</w:t>
            </w:r>
          </w:p>
        </w:tc>
        <w:tc>
          <w:tcPr>
            <w:tcW w:type="dxa" w:w="3328"/>
            <w:tcMar>
              <w:top w:type="dxa" w:w="60"/>
              <w:left w:type="dxa" w:w="100"/>
              <w:bottom w:type="dxa" w:w="60"/>
              <w:right w:type="dxa" w:w="100"/>
            </w:tcMar>
          </w:tcPr>
          <w:p>
            <w:pPr>
              <w:spacing w:after="40"/>
            </w:pPr>
            <w:r>
              <w:rPr>
                <w:b w:val="false"/>
                <w:bCs w:val="false"/>
                <w:sz w:val="20"/>
                <w:szCs w:val="20"/>
              </w:rPr>
              <w:t xml:space="preserve">School/faction-tinted chips until bespoke art exists; the Visual.SceneKey pipeline will eventually feed portrait keys. Low urgency.</w:t>
            </w:r>
          </w:p>
        </w:tc>
      </w:tr>
      <w:tr>
        <w:tc>
          <w:tcPr>
            <w:tcW w:type="dxa" w:w="624"/>
            <w:tcMar>
              <w:top w:type="dxa" w:w="60"/>
              <w:left w:type="dxa" w:w="100"/>
              <w:bottom w:type="dxa" w:w="60"/>
              <w:right w:type="dxa" w:w="100"/>
            </w:tcMar>
          </w:tcPr>
          <w:p>
            <w:pPr>
              <w:spacing w:after="40"/>
            </w:pPr>
            <w:r>
              <w:rPr>
                <w:b w:val="false"/>
                <w:bCs w:val="false"/>
                <w:sz w:val="20"/>
                <w:szCs w:val="20"/>
              </w:rPr>
              <w:t xml:space="preserve">5</w:t>
            </w:r>
          </w:p>
        </w:tc>
        <w:tc>
          <w:tcPr>
            <w:tcW w:type="dxa" w:w="5408"/>
            <w:tcMar>
              <w:top w:type="dxa" w:w="60"/>
              <w:left w:type="dxa" w:w="100"/>
              <w:bottom w:type="dxa" w:w="60"/>
              <w:right w:type="dxa" w:w="100"/>
            </w:tcMar>
          </w:tcPr>
          <w:p>
            <w:pPr>
              <w:spacing w:after="40"/>
            </w:pPr>
            <w:r>
              <w:rPr>
                <w:b w:val="false"/>
                <w:bCs w:val="false"/>
                <w:sz w:val="20"/>
                <w:szCs w:val="20"/>
              </w:rPr>
              <w:t xml:space="preserve">Minimum resolution 1280×720 and the 1920×1080 design base.</w:t>
            </w:r>
          </w:p>
        </w:tc>
        <w:tc>
          <w:tcPr>
            <w:tcW w:type="dxa" w:w="3328"/>
            <w:tcMar>
              <w:top w:type="dxa" w:w="60"/>
              <w:left w:type="dxa" w:w="100"/>
              <w:bottom w:type="dxa" w:w="60"/>
              <w:right w:type="dxa" w:w="100"/>
            </w:tcMar>
          </w:tcPr>
          <w:p>
            <w:pPr>
              <w:spacing w:after="40"/>
            </w:pPr>
            <w:r>
              <w:rPr>
                <w:b w:val="false"/>
                <w:bCs w:val="false"/>
                <w:sz w:val="20"/>
                <w:szCs w:val="20"/>
              </w:rPr>
              <w:t xml:space="preserve">RULED (R21): adopted.</w:t>
            </w:r>
          </w:p>
        </w:tc>
      </w:tr>
      <w:tr>
        <w:tc>
          <w:tcPr>
            <w:tcW w:type="dxa" w:w="624"/>
            <w:tcMar>
              <w:top w:type="dxa" w:w="60"/>
              <w:left w:type="dxa" w:w="100"/>
              <w:bottom w:type="dxa" w:w="60"/>
              <w:right w:type="dxa" w:w="100"/>
            </w:tcMar>
          </w:tcPr>
          <w:p>
            <w:pPr>
              <w:spacing w:after="40"/>
            </w:pPr>
            <w:r>
              <w:rPr>
                <w:b w:val="false"/>
                <w:bCs w:val="false"/>
                <w:sz w:val="20"/>
                <w:szCs w:val="20"/>
              </w:rPr>
              <w:t xml:space="preserve">6</w:t>
            </w:r>
          </w:p>
        </w:tc>
        <w:tc>
          <w:tcPr>
            <w:tcW w:type="dxa" w:w="5408"/>
            <w:tcMar>
              <w:top w:type="dxa" w:w="60"/>
              <w:left w:type="dxa" w:w="100"/>
              <w:bottom w:type="dxa" w:w="60"/>
              <w:right w:type="dxa" w:w="100"/>
            </w:tcMar>
          </w:tcPr>
          <w:p>
            <w:pPr>
              <w:spacing w:after="40"/>
            </w:pPr>
            <w:r>
              <w:rPr>
                <w:b w:val="false"/>
                <w:bCs w:val="false"/>
                <w:sz w:val="20"/>
                <w:szCs w:val="20"/>
              </w:rPr>
              <w:t xml:space="preserve">Party chips' new home (bottom-left above the log) vs staying in the left column.</w:t>
            </w:r>
          </w:p>
        </w:tc>
        <w:tc>
          <w:tcPr>
            <w:tcW w:type="dxa" w:w="3328"/>
            <w:tcMar>
              <w:top w:type="dxa" w:w="60"/>
              <w:left w:type="dxa" w:w="100"/>
              <w:bottom w:type="dxa" w:w="60"/>
              <w:right w:type="dxa" w:w="100"/>
            </w:tcMar>
          </w:tcPr>
          <w:p>
            <w:pPr>
              <w:spacing w:after="40"/>
            </w:pPr>
            <w:r>
              <w:rPr>
                <w:b w:val="false"/>
                <w:bCs w:val="false"/>
                <w:sz w:val="20"/>
                <w:szCs w:val="20"/>
              </w:rPr>
              <w:t xml:space="preserve">RULED (Group D): bottom-left.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2E2A24"/>
      <w:sz w:val="32"/>
      <w:szCs w:val="32"/>
    </w:rPr>
  </w:style>
  <w:style w:type="paragraph" w:styleId="Heading2">
    <w:name w:val="Heading 2"/>
    <w:basedOn w:val="Normal"/>
    <w:next w:val="Normal"/>
    <w:qFormat/>
    <w:rPr>
      <w:b/>
      <w:bCs/>
      <w:color w:val="3E382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2026-07-04T03:17:32.198Z</dcterms:created>
  <dcterms:modified xsi:type="dcterms:W3CDTF">2026-07-04T03:17:32.198Z</dcterms:modified>
</cp:coreProperties>
</file>

<file path=docProps/custom.xml><?xml version="1.0" encoding="utf-8"?>
<Properties xmlns="http://schemas.openxmlformats.org/officeDocument/2006/custom-properties" xmlns:vt="http://schemas.openxmlformats.org/officeDocument/2006/docPropsVTypes"/>
</file>