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40"/>
          <w:szCs w:val="40"/>
        </w:rPr>
        <w:t xml:space="preserve">CAMPUS SIEGE &amp; DEFENSE</w:t>
      </w:r>
    </w:p>
    <w:p>
      <w:pPr>
        <w:spacing w:after="200"/>
      </w:pPr>
      <w:r>
        <w:rPr>
          <w:sz w:val="26"/>
          <w:szCs w:val="26"/>
        </w:rPr>
        <w:t xml:space="preserve">The Walls, the Town, and the Vectors of Attack</w:t>
      </w:r>
    </w:p>
    <w:p>
      <w:pPr>
        <w:spacing w:after="240"/>
      </w:pPr>
      <w:r>
        <w:rPr>
          <w:i/>
          <w:iCs/>
          <w:color w:val="555555"/>
        </w:rPr>
        <w:t xml:space="preserve">Design Reference Document — v1. Extends guild_campus_v2.docx §8 (Seasonal Defenses) and convergence.docx §7 (Phase 2: The Fracture) into a full siege model, and defines the schema additions the campus hex map (CampusMapSaveData, CampusHexGrid, BuildingSaveData) will need before a Campus Defense encounter can be built. Locked decisions: two-arena structure (Walls Map + Town Map); three independent attack vectors (wall/gatehouse siege, dock/skydock, portal strike); multi-hex variable-shape building footprints with rotation; buildings are destructible. Building interiors are not enterable in v1 — footprints are impassable, line-of-sight-blocking volumes, revisited later. All numeric values are first-pass tuning targets, not commitments.</w:t>
      </w:r>
    </w:p>
    <w:p>
      <w:pPr>
        <w:pStyle w:val="Heading1"/>
        <w:spacing w:after="120" w:before="300"/>
      </w:pPr>
      <w:r>
        <w:t xml:space="preserve">1. Purpose &amp; Scope</w:t>
      </w:r>
    </w:p>
    <w:p>
      <w:pPr>
        <w:spacing w:after="160"/>
      </w:pPr>
      <w:r>
        <w:t xml:space="preserve">The guild campus already exists as a persistent hex map (CampusMapSaveData / CampusHexGrid, EternalLedger-backed, survives cycle resets) used for building placement between runs. This document defines what happens when that same town is attacked — the Campus Defense encounter referenced in guild_campus_v2 §8 ("Seasonal Defenses") and named explicitly as Convergence Phase 2, "The Fracture" (convergence.docx §7), where "the first Void incursion hits the campus directly" regardless of chosen path.</w:t>
      </w:r>
    </w:p>
    <w:p>
      <w:pPr>
        <w:spacing w:after="160"/>
      </w:pPr>
      <w:r>
        <w:t xml:space="preserve">This is not a single combat map. It is a short campaign of its own — an outer siege the player can actively contest, and an inner town defense that only happens if the outer contest is lost. Both stages read and write the same persistent campus data the player has been building the whole game.</w:t>
      </w:r>
    </w:p>
    <w:p>
      <w:pPr>
        <w:pStyle w:val="Heading1"/>
        <w:spacing w:after="120" w:before="300"/>
      </w:pPr>
      <w:r>
        <w:t xml:space="preserve">2. The Two-Arena Model</w:t>
      </w:r>
    </w:p>
    <w:p>
      <w:pPr>
        <w:spacing w:after="160"/>
      </w:pPr>
      <w:r>
        <w:t xml:space="preserve">A siege plays out across two distinct arenas, not one scaled-up combat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800"/>
        <w:gridCol w:w="1560"/>
      </w:tblGrid>
      <w:tr>
        <w:tc>
          <w:tcPr>
            <w:tcW w:type="dxa" w:w="1800"/>
            <w:shd w:fill="E8E4DC" w:val="clear"/>
            <w:tcMar>
              <w:top w:type="dxa" w:w="80"/>
              <w:left w:type="dxa" w:w="100"/>
              <w:bottom w:type="dxa" w:w="80"/>
              <w:right w:type="dxa" w:w="100"/>
            </w:tcMar>
          </w:tcPr>
          <w:p>
            <w:r>
              <w:rPr>
                <w:b/>
                <w:bCs/>
                <w:sz w:val="20"/>
                <w:szCs w:val="20"/>
              </w:rPr>
              <w:t xml:space="preserve">Arena</w:t>
            </w:r>
          </w:p>
        </w:tc>
        <w:tc>
          <w:tcPr>
            <w:tcW w:type="dxa" w:w="3200"/>
            <w:shd w:fill="E8E4DC" w:val="clear"/>
            <w:tcMar>
              <w:top w:type="dxa" w:w="80"/>
              <w:left w:type="dxa" w:w="100"/>
              <w:bottom w:type="dxa" w:w="80"/>
              <w:right w:type="dxa" w:w="100"/>
            </w:tcMar>
          </w:tcPr>
          <w:p>
            <w:r>
              <w:rPr>
                <w:b/>
                <w:bCs/>
                <w:sz w:val="20"/>
                <w:szCs w:val="20"/>
              </w:rPr>
              <w:t xml:space="preserve">Contents</w:t>
            </w:r>
          </w:p>
        </w:tc>
        <w:tc>
          <w:tcPr>
            <w:tcW w:type="dxa" w:w="2800"/>
            <w:shd w:fill="E8E4DC" w:val="clear"/>
            <w:tcMar>
              <w:top w:type="dxa" w:w="80"/>
              <w:left w:type="dxa" w:w="100"/>
              <w:bottom w:type="dxa" w:w="80"/>
              <w:right w:type="dxa" w:w="100"/>
            </w:tcMar>
          </w:tcPr>
          <w:p>
            <w:r>
              <w:rPr>
                <w:b/>
                <w:bCs/>
                <w:sz w:val="20"/>
                <w:szCs w:val="20"/>
              </w:rPr>
              <w:t xml:space="preserve">Player Options</w:t>
            </w:r>
          </w:p>
        </w:tc>
        <w:tc>
          <w:tcPr>
            <w:tcW w:type="dxa" w:w="1560"/>
            <w:shd w:fill="E8E4DC" w:val="clear"/>
            <w:tcMar>
              <w:top w:type="dxa" w:w="80"/>
              <w:left w:type="dxa" w:w="100"/>
              <w:bottom w:type="dxa" w:w="80"/>
              <w:right w:type="dxa" w:w="100"/>
            </w:tcMar>
          </w:tcPr>
          <w:p>
            <w:r>
              <w:rPr>
                <w:b/>
                <w:bCs/>
                <w:sz w:val="20"/>
                <w:szCs w:val="20"/>
              </w:rPr>
              <w:t xml:space="preserve">Resolution</w:t>
            </w:r>
          </w:p>
        </w:tc>
      </w:tr>
      <w:tr>
        <w:tc>
          <w:tcPr>
            <w:tcW w:type="dxa" w:w="1800"/>
            <w:tcMar>
              <w:top w:type="dxa" w:w="80"/>
              <w:left w:type="dxa" w:w="100"/>
              <w:bottom w:type="dxa" w:w="80"/>
              <w:right w:type="dxa" w:w="100"/>
            </w:tcMar>
          </w:tcPr>
          <w:p>
            <w:r>
              <w:rPr>
                <w:b w:val="false"/>
                <w:bCs w:val="false"/>
                <w:sz w:val="20"/>
                <w:szCs w:val="20"/>
              </w:rPr>
              <w:t xml:space="preserve">The Walls Map</w:t>
            </w:r>
          </w:p>
        </w:tc>
        <w:tc>
          <w:tcPr>
            <w:tcW w:type="dxa" w:w="3200"/>
            <w:tcMar>
              <w:top w:type="dxa" w:w="80"/>
              <w:left w:type="dxa" w:w="100"/>
              <w:bottom w:type="dxa" w:w="80"/>
              <w:right w:type="dxa" w:w="100"/>
            </w:tcMar>
          </w:tcPr>
          <w:p>
            <w:r>
              <w:rPr>
                <w:b w:val="false"/>
                <w:bCs w:val="false"/>
                <w:sz w:val="20"/>
                <w:szCs w:val="20"/>
              </w:rPr>
              <w:t xml:space="preserve">Gatehouse, wall segments, and a band of exterior hexes where siege equipment sets up.</w:t>
            </w:r>
          </w:p>
        </w:tc>
        <w:tc>
          <w:tcPr>
            <w:tcW w:type="dxa" w:w="2800"/>
            <w:tcMar>
              <w:top w:type="dxa" w:w="80"/>
              <w:left w:type="dxa" w:w="100"/>
              <w:bottom w:type="dxa" w:w="80"/>
              <w:right w:type="dxa" w:w="100"/>
            </w:tcMar>
          </w:tcPr>
          <w:p>
            <w:r>
              <w:rPr>
                <w:b w:val="false"/>
                <w:bCs w:val="false"/>
                <w:sz w:val="20"/>
                <w:szCs w:val="20"/>
              </w:rPr>
              <w:t xml:space="preserve">Defend the wall from atop it, or sortie out into the exterior hexes to destroy siege equipment before it breaches anything.</w:t>
            </w:r>
          </w:p>
        </w:tc>
        <w:tc>
          <w:tcPr>
            <w:tcW w:type="dxa" w:w="1560"/>
            <w:tcMar>
              <w:top w:type="dxa" w:w="80"/>
              <w:left w:type="dxa" w:w="100"/>
              <w:bottom w:type="dxa" w:w="80"/>
              <w:right w:type="dxa" w:w="100"/>
            </w:tcMar>
          </w:tcPr>
          <w:p>
            <w:r>
              <w:rPr>
                <w:b w:val="false"/>
                <w:bCs w:val="false"/>
                <w:sz w:val="20"/>
                <w:szCs w:val="20"/>
              </w:rPr>
              <w:t xml:space="preserve">Repelled: siege equipment destroyed / attackers routed before breach — the Town Map is never touched. Breached: one or more wall segments fall; the encounter continues onto the Town Map.</w:t>
            </w:r>
          </w:p>
        </w:tc>
      </w:tr>
      <w:tr>
        <w:tc>
          <w:tcPr>
            <w:tcW w:type="dxa" w:w="1800"/>
            <w:tcMar>
              <w:top w:type="dxa" w:w="80"/>
              <w:left w:type="dxa" w:w="100"/>
              <w:bottom w:type="dxa" w:w="80"/>
              <w:right w:type="dxa" w:w="100"/>
            </w:tcMar>
          </w:tcPr>
          <w:p>
            <w:r>
              <w:rPr>
                <w:b w:val="false"/>
                <w:bCs w:val="false"/>
                <w:sz w:val="20"/>
                <w:szCs w:val="20"/>
              </w:rPr>
              <w:t xml:space="preserve">The Town Map</w:t>
            </w:r>
          </w:p>
        </w:tc>
        <w:tc>
          <w:tcPr>
            <w:tcW w:type="dxa" w:w="3200"/>
            <w:tcMar>
              <w:top w:type="dxa" w:w="80"/>
              <w:left w:type="dxa" w:w="100"/>
              <w:bottom w:type="dxa" w:w="80"/>
              <w:right w:type="dxa" w:w="100"/>
            </w:tcMar>
          </w:tcPr>
          <w:p>
            <w:r>
              <w:rPr>
                <w:b w:val="false"/>
                <w:bCs w:val="false"/>
                <w:sz w:val="20"/>
                <w:szCs w:val="20"/>
              </w:rPr>
              <w:t xml:space="preserve">The player's actual campus hex map (CampusMapSaveData) — the same layout used in the build/manage screen.</w:t>
            </w:r>
          </w:p>
        </w:tc>
        <w:tc>
          <w:tcPr>
            <w:tcW w:type="dxa" w:w="2800"/>
            <w:tcMar>
              <w:top w:type="dxa" w:w="80"/>
              <w:left w:type="dxa" w:w="100"/>
              <w:bottom w:type="dxa" w:w="80"/>
              <w:right w:type="dxa" w:w="100"/>
            </w:tcMar>
          </w:tcPr>
          <w:p>
            <w:r>
              <w:rPr>
                <w:b w:val="false"/>
                <w:bCs w:val="false"/>
                <w:sz w:val="20"/>
                <w:szCs w:val="20"/>
              </w:rPr>
              <w:t xml:space="preserve">Defend buildings directly; non-deployed companions defend secondary fronts per convergence.docx §8 (Companion Fates).</w:t>
            </w:r>
          </w:p>
        </w:tc>
        <w:tc>
          <w:tcPr>
            <w:tcW w:type="dxa" w:w="1560"/>
            <w:tcMar>
              <w:top w:type="dxa" w:w="80"/>
              <w:left w:type="dxa" w:w="100"/>
              <w:bottom w:type="dxa" w:w="80"/>
              <w:right w:type="dxa" w:w="100"/>
            </w:tcMar>
          </w:tcPr>
          <w:p>
            <w:r>
              <w:rPr>
                <w:b w:val="false"/>
                <w:bCs w:val="false"/>
                <w:sz w:val="20"/>
                <w:szCs w:val="20"/>
              </w:rPr>
              <w:t xml:space="preserve">Victory: attackers cleared from the town. Defeat/partial: buildings destroyed or the encounter escalates per whatever triggered it (seasonal threat vs. Convergence Phase 2).</w:t>
            </w:r>
          </w:p>
        </w:tc>
      </w:tr>
    </w:tbl>
    <w:p>
      <w:pPr>
        <w:pStyle w:val="Heading2"/>
        <w:spacing w:after="80" w:before="200"/>
      </w:pPr>
      <w:r>
        <w:t xml:space="preserve">2a. Breach Correspondence</w:t>
      </w:r>
    </w:p>
    <w:p>
      <w:pPr>
        <w:spacing w:after="160"/>
      </w:pPr>
      <w:r>
        <w:t xml:space="preserve">Which wall segment or gatehouse falls determines where attackers enter the Town Map — "the enemy will enter the town proper from the edge they broke through on." This requires an explicit mapping between wall-map segments and Town Map edge hexes, authored once per campus (likely alongside the Gatehouse's own placement) rather than derived at encounter time. Exact authoring format is open — see §6.</w:t>
      </w:r>
    </w:p>
    <w:p>
      <w:pPr>
        <w:pStyle w:val="Heading1"/>
        <w:spacing w:after="120" w:before="300"/>
      </w:pPr>
      <w:r>
        <w:t xml:space="preserve">3. Attack Vectors</w:t>
      </w:r>
    </w:p>
    <w:p>
      <w:pPr>
        <w:spacing w:after="160"/>
      </w:pPr>
      <w:r>
        <w:t xml:space="preserve">Three independent ways an attacking force can reach the town. They are not tiers of the same thing — each has a different scale, a different arena, and a different defensive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1900"/>
        <w:gridCol w:w="2860"/>
      </w:tblGrid>
      <w:tr>
        <w:tc>
          <w:tcPr>
            <w:tcW w:type="dxa" w:w="1900"/>
            <w:shd w:fill="E8E4DC" w:val="clear"/>
            <w:tcMar>
              <w:top w:type="dxa" w:w="80"/>
              <w:left w:type="dxa" w:w="100"/>
              <w:bottom w:type="dxa" w:w="80"/>
              <w:right w:type="dxa" w:w="100"/>
            </w:tcMar>
          </w:tcPr>
          <w:p>
            <w:r>
              <w:rPr>
                <w:b/>
                <w:bCs/>
                <w:sz w:val="20"/>
                <w:szCs w:val="20"/>
              </w:rPr>
              <w:t xml:space="preserve">Vector</w:t>
            </w:r>
          </w:p>
        </w:tc>
        <w:tc>
          <w:tcPr>
            <w:tcW w:type="dxa" w:w="2700"/>
            <w:shd w:fill="E8E4DC" w:val="clear"/>
            <w:tcMar>
              <w:top w:type="dxa" w:w="80"/>
              <w:left w:type="dxa" w:w="100"/>
              <w:bottom w:type="dxa" w:w="80"/>
              <w:right w:type="dxa" w:w="100"/>
            </w:tcMar>
          </w:tcPr>
          <w:p>
            <w:r>
              <w:rPr>
                <w:b/>
                <w:bCs/>
                <w:sz w:val="20"/>
                <w:szCs w:val="20"/>
              </w:rPr>
              <w:t xml:space="preserve">Access</w:t>
            </w:r>
          </w:p>
        </w:tc>
        <w:tc>
          <w:tcPr>
            <w:tcW w:type="dxa" w:w="1900"/>
            <w:shd w:fill="E8E4DC" w:val="clear"/>
            <w:tcMar>
              <w:top w:type="dxa" w:w="80"/>
              <w:left w:type="dxa" w:w="100"/>
              <w:bottom w:type="dxa" w:w="80"/>
              <w:right w:type="dxa" w:w="100"/>
            </w:tcMar>
          </w:tcPr>
          <w:p>
            <w:r>
              <w:rPr>
                <w:b/>
                <w:bCs/>
                <w:sz w:val="20"/>
                <w:szCs w:val="20"/>
              </w:rPr>
              <w:t xml:space="preserve">Scale</w:t>
            </w:r>
          </w:p>
        </w:tc>
        <w:tc>
          <w:tcPr>
            <w:tcW w:type="dxa" w:w="2860"/>
            <w:shd w:fill="E8E4DC" w:val="clear"/>
            <w:tcMar>
              <w:top w:type="dxa" w:w="80"/>
              <w:left w:type="dxa" w:w="100"/>
              <w:bottom w:type="dxa" w:w="80"/>
              <w:right w:type="dxa" w:w="100"/>
            </w:tcMar>
          </w:tcPr>
          <w:p>
            <w:r>
              <w:rPr>
                <w:b/>
                <w:bCs/>
                <w:sz w:val="20"/>
                <w:szCs w:val="20"/>
              </w:rPr>
              <w:t xml:space="preserve">Notes</w:t>
            </w:r>
          </w:p>
        </w:tc>
      </w:tr>
      <w:tr>
        <w:tc>
          <w:tcPr>
            <w:tcW w:type="dxa" w:w="1900"/>
            <w:tcMar>
              <w:top w:type="dxa" w:w="80"/>
              <w:left w:type="dxa" w:w="100"/>
              <w:bottom w:type="dxa" w:w="80"/>
              <w:right w:type="dxa" w:w="100"/>
            </w:tcMar>
          </w:tcPr>
          <w:p>
            <w:r>
              <w:rPr>
                <w:b w:val="false"/>
                <w:bCs w:val="false"/>
                <w:sz w:val="20"/>
                <w:szCs w:val="20"/>
              </w:rPr>
              <w:t xml:space="preserve">Wall / Gatehouse Siege</w:t>
            </w:r>
          </w:p>
        </w:tc>
        <w:tc>
          <w:tcPr>
            <w:tcW w:type="dxa" w:w="2700"/>
            <w:tcMar>
              <w:top w:type="dxa" w:w="80"/>
              <w:left w:type="dxa" w:w="100"/>
              <w:bottom w:type="dxa" w:w="80"/>
              <w:right w:type="dxa" w:w="100"/>
            </w:tcMar>
          </w:tcPr>
          <w:p>
            <w:r>
              <w:rPr>
                <w:b w:val="false"/>
                <w:bCs w:val="false"/>
                <w:sz w:val="20"/>
                <w:szCs w:val="20"/>
              </w:rPr>
              <w:t xml:space="preserve">Must cross the Walls Map first (§2).</w:t>
            </w:r>
          </w:p>
        </w:tc>
        <w:tc>
          <w:tcPr>
            <w:tcW w:type="dxa" w:w="1900"/>
            <w:tcMar>
              <w:top w:type="dxa" w:w="80"/>
              <w:left w:type="dxa" w:w="100"/>
              <w:bottom w:type="dxa" w:w="80"/>
              <w:right w:type="dxa" w:w="100"/>
            </w:tcMar>
          </w:tcPr>
          <w:p>
            <w:r>
              <w:rPr>
                <w:b w:val="false"/>
                <w:bCs w:val="false"/>
                <w:sz w:val="20"/>
                <w:szCs w:val="20"/>
              </w:rPr>
              <w:t xml:space="preserve">Large — the primary, full-scale siege.</w:t>
            </w:r>
          </w:p>
        </w:tc>
        <w:tc>
          <w:tcPr>
            <w:tcW w:type="dxa" w:w="2860"/>
            <w:tcMar>
              <w:top w:type="dxa" w:w="80"/>
              <w:left w:type="dxa" w:w="100"/>
              <w:bottom w:type="dxa" w:w="80"/>
              <w:right w:type="dxa" w:w="100"/>
            </w:tcMar>
          </w:tcPr>
          <w:p>
            <w:r>
              <w:rPr>
                <w:b w:val="false"/>
                <w:bCs w:val="false"/>
                <w:sz w:val="20"/>
                <w:szCs w:val="20"/>
              </w:rPr>
              <w:t xml:space="preserve">The only vector with its own preliminary arena. Everything in §2 describes this vector specifically.</w:t>
            </w:r>
          </w:p>
        </w:tc>
      </w:tr>
      <w:tr>
        <w:tc>
          <w:tcPr>
            <w:tcW w:type="dxa" w:w="1900"/>
            <w:tcMar>
              <w:top w:type="dxa" w:w="80"/>
              <w:left w:type="dxa" w:w="100"/>
              <w:bottom w:type="dxa" w:w="80"/>
              <w:right w:type="dxa" w:w="100"/>
            </w:tcMar>
          </w:tcPr>
          <w:p>
            <w:r>
              <w:rPr>
                <w:b w:val="false"/>
                <w:bCs w:val="false"/>
                <w:sz w:val="20"/>
                <w:szCs w:val="20"/>
              </w:rPr>
              <w:t xml:space="preserve">Dock or Skydock</w:t>
            </w:r>
          </w:p>
        </w:tc>
        <w:tc>
          <w:tcPr>
            <w:tcW w:type="dxa" w:w="2700"/>
            <w:tcMar>
              <w:top w:type="dxa" w:w="80"/>
              <w:left w:type="dxa" w:w="100"/>
              <w:bottom w:type="dxa" w:w="80"/>
              <w:right w:type="dxa" w:w="100"/>
            </w:tcMar>
          </w:tcPr>
          <w:p>
            <w:r>
              <w:rPr>
                <w:b w:val="false"/>
                <w:bCs w:val="false"/>
                <w:sz w:val="20"/>
                <w:szCs w:val="20"/>
              </w:rPr>
              <w:t xml:space="preserve">Direct — bypasses the Walls Map entirely.</w:t>
            </w:r>
          </w:p>
        </w:tc>
        <w:tc>
          <w:tcPr>
            <w:tcW w:type="dxa" w:w="1900"/>
            <w:tcMar>
              <w:top w:type="dxa" w:w="80"/>
              <w:left w:type="dxa" w:w="100"/>
              <w:bottom w:type="dxa" w:w="80"/>
              <w:right w:type="dxa" w:w="100"/>
            </w:tcMar>
          </w:tcPr>
          <w:p>
            <w:r>
              <w:rPr>
                <w:b w:val="false"/>
                <w:bCs w:val="false"/>
                <w:sz w:val="20"/>
                <w:szCs w:val="20"/>
              </w:rPr>
              <w:t xml:space="preserve">Smaller-scale than a full siege.</w:t>
            </w:r>
          </w:p>
        </w:tc>
        <w:tc>
          <w:tcPr>
            <w:tcW w:type="dxa" w:w="2860"/>
            <w:tcMar>
              <w:top w:type="dxa" w:w="80"/>
              <w:left w:type="dxa" w:w="100"/>
              <w:bottom w:type="dxa" w:w="80"/>
              <w:right w:type="dxa" w:w="100"/>
            </w:tcMar>
          </w:tcPr>
          <w:p>
            <w:r>
              <w:rPr>
                <w:b w:val="false"/>
                <w:bCs w:val="false"/>
                <w:sz w:val="20"/>
                <w:szCs w:val="20"/>
              </w:rPr>
              <w:t xml:space="preserve">Dock if the guild's starting location has water, Skydock otherwise — mutually exclusive per guild, determined by the same starting-location data the world/region generator already reads (single_world_refactor_v2 §3).</w:t>
            </w:r>
          </w:p>
        </w:tc>
      </w:tr>
      <w:tr>
        <w:tc>
          <w:tcPr>
            <w:tcW w:type="dxa" w:w="1900"/>
            <w:tcMar>
              <w:top w:type="dxa" w:w="80"/>
              <w:left w:type="dxa" w:w="100"/>
              <w:bottom w:type="dxa" w:w="80"/>
              <w:right w:type="dxa" w:w="100"/>
            </w:tcMar>
          </w:tcPr>
          <w:p>
            <w:r>
              <w:rPr>
                <w:b w:val="false"/>
                <w:bCs w:val="false"/>
                <w:sz w:val="20"/>
                <w:szCs w:val="20"/>
              </w:rPr>
              <w:t xml:space="preserve">Teleport Portal</w:t>
            </w:r>
          </w:p>
        </w:tc>
        <w:tc>
          <w:tcPr>
            <w:tcW w:type="dxa" w:w="2700"/>
            <w:tcMar>
              <w:top w:type="dxa" w:w="80"/>
              <w:left w:type="dxa" w:w="100"/>
              <w:bottom w:type="dxa" w:w="80"/>
              <w:right w:type="dxa" w:w="100"/>
            </w:tcMar>
          </w:tcPr>
          <w:p>
            <w:r>
              <w:rPr>
                <w:b w:val="false"/>
                <w:bCs w:val="false"/>
                <w:sz w:val="20"/>
                <w:szCs w:val="20"/>
              </w:rPr>
              <w:t xml:space="preserve">Direct — bypasses both the wall and the dock/skydock.</w:t>
            </w:r>
          </w:p>
        </w:tc>
        <w:tc>
          <w:tcPr>
            <w:tcW w:type="dxa" w:w="1900"/>
            <w:tcMar>
              <w:top w:type="dxa" w:w="80"/>
              <w:left w:type="dxa" w:w="100"/>
              <w:bottom w:type="dxa" w:w="80"/>
              <w:right w:type="dxa" w:w="100"/>
            </w:tcMar>
          </w:tcPr>
          <w:p>
            <w:r>
              <w:rPr>
                <w:b w:val="false"/>
                <w:bCs w:val="false"/>
                <w:sz w:val="20"/>
                <w:szCs w:val="20"/>
              </w:rPr>
              <w:t xml:space="preserve">A strike force, not a siege army.</w:t>
            </w:r>
          </w:p>
        </w:tc>
        <w:tc>
          <w:tcPr>
            <w:tcW w:type="dxa" w:w="2860"/>
            <w:tcMar>
              <w:top w:type="dxa" w:w="80"/>
              <w:left w:type="dxa" w:w="100"/>
              <w:bottom w:type="dxa" w:w="80"/>
              <w:right w:type="dxa" w:w="100"/>
            </w:tcMar>
          </w:tcPr>
          <w:p>
            <w:r>
              <w:rPr>
                <w:b w:val="false"/>
                <w:bCs w:val="false"/>
                <w:sz w:val="20"/>
                <w:szCs w:val="20"/>
              </w:rPr>
              <w:t xml:space="preserve">The Portal is itself a placeable campus building (like any other), so its entry point is wherever the player sited it — potentially deep in the town's interior. Rival kingdoms gain access by discovering the portal's "code" (mechanism undecided — see §6).</w:t>
            </w:r>
          </w:p>
        </w:tc>
      </w:tr>
    </w:tbl>
    <w:p>
      <w:pPr>
        <w:pStyle w:val="Heading1"/>
        <w:spacing w:after="120" w:before="300"/>
      </w:pPr>
      <w:r>
        <w:t xml:space="preserve">4. Building Footprints, Rotation &amp; Damage</w:t>
      </w:r>
    </w:p>
    <w:p>
      <w:pPr>
        <w:spacing w:after="160"/>
      </w:pPr>
      <w:r>
        <w:t xml:space="preserve">Full 3D models are planned per building, and buildings will occupy multiple hexes in varying shapes — a Grand Hall and a Tavern should not read as the same footprint. Footprint SHAPE is a property of the building type (the template), the same way MaxTier and the Tiers list already are; footprint POSITION and ROTATION are per-instance, the same way Q/R already are on BuildingSaveData.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shd w:fill="E8E4DC" w:val="clear"/>
            <w:tcMar>
              <w:top w:type="dxa" w:w="80"/>
              <w:left w:type="dxa" w:w="100"/>
              <w:bottom w:type="dxa" w:w="80"/>
              <w:right w:type="dxa" w:w="100"/>
            </w:tcMar>
          </w:tcPr>
          <w:p>
            <w:r>
              <w:rPr>
                <w:b/>
                <w:bCs/>
                <w:sz w:val="20"/>
                <w:szCs w:val="20"/>
              </w:rPr>
              <w:t xml:space="preserve">Concept</w:t>
            </w:r>
          </w:p>
        </w:tc>
        <w:tc>
          <w:tcPr>
            <w:tcW w:type="dxa" w:w="2600"/>
            <w:shd w:fill="E8E4DC" w:val="clear"/>
            <w:tcMar>
              <w:top w:type="dxa" w:w="80"/>
              <w:left w:type="dxa" w:w="100"/>
              <w:bottom w:type="dxa" w:w="80"/>
              <w:right w:type="dxa" w:w="100"/>
            </w:tcMar>
          </w:tcPr>
          <w:p>
            <w:r>
              <w:rPr>
                <w:b/>
                <w:bCs/>
                <w:sz w:val="20"/>
                <w:szCs w:val="20"/>
              </w:rPr>
              <w:t xml:space="preserve">Lives On</w:t>
            </w:r>
          </w:p>
        </w:tc>
        <w:tc>
          <w:tcPr>
            <w:tcW w:type="dxa" w:w="4560"/>
            <w:shd w:fill="E8E4DC" w:val="clear"/>
            <w:tcMar>
              <w:top w:type="dxa" w:w="80"/>
              <w:left w:type="dxa" w:w="100"/>
              <w:bottom w:type="dxa" w:w="80"/>
              <w:right w:type="dxa" w:w="100"/>
            </w:tcMar>
          </w:tcPr>
          <w:p>
            <w:r>
              <w:rPr>
                <w:b/>
                <w:bCs/>
                <w:sz w:val="20"/>
                <w:szCs w:val="20"/>
              </w:rPr>
              <w:t xml:space="preserve">Notes</w:t>
            </w:r>
          </w:p>
        </w:tc>
      </w:tr>
      <w:tr>
        <w:tc>
          <w:tcPr>
            <w:tcW w:type="dxa" w:w="2200"/>
            <w:tcMar>
              <w:top w:type="dxa" w:w="80"/>
              <w:left w:type="dxa" w:w="100"/>
              <w:bottom w:type="dxa" w:w="80"/>
              <w:right w:type="dxa" w:w="100"/>
            </w:tcMar>
          </w:tcPr>
          <w:p>
            <w:r>
              <w:rPr>
                <w:b w:val="false"/>
                <w:bCs w:val="false"/>
                <w:sz w:val="20"/>
                <w:szCs w:val="20"/>
              </w:rPr>
              <w:t xml:space="preserve">Footprint shape</w:t>
            </w:r>
          </w:p>
        </w:tc>
        <w:tc>
          <w:tcPr>
            <w:tcW w:type="dxa" w:w="2600"/>
            <w:tcMar>
              <w:top w:type="dxa" w:w="80"/>
              <w:left w:type="dxa" w:w="100"/>
              <w:bottom w:type="dxa" w:w="80"/>
              <w:right w:type="dxa" w:w="100"/>
            </w:tcMar>
          </w:tcPr>
          <w:p>
            <w:r>
              <w:rPr>
                <w:b w:val="false"/>
                <w:bCs w:val="false"/>
                <w:sz w:val="20"/>
                <w:szCs w:val="20"/>
              </w:rPr>
              <w:t xml:space="preserve">Building template (static data)</w:t>
            </w:r>
          </w:p>
        </w:tc>
        <w:tc>
          <w:tcPr>
            <w:tcW w:type="dxa" w:w="4560"/>
            <w:tcMar>
              <w:top w:type="dxa" w:w="80"/>
              <w:left w:type="dxa" w:w="100"/>
              <w:bottom w:type="dxa" w:w="80"/>
              <w:right w:type="dxa" w:w="100"/>
            </w:tcMar>
          </w:tcPr>
          <w:p>
            <w:r>
              <w:rPr>
                <w:b w:val="false"/>
                <w:bCs w:val="false"/>
                <w:sz w:val="20"/>
                <w:szCs w:val="20"/>
              </w:rPr>
              <w:t xml:space="preserve">A set of hex offsets relative to an anchor coordinate, authored per building in its Data/Buildings/*.json definition.</w:t>
            </w:r>
          </w:p>
        </w:tc>
      </w:tr>
      <w:tr>
        <w:tc>
          <w:tcPr>
            <w:tcW w:type="dxa" w:w="2200"/>
            <w:tcMar>
              <w:top w:type="dxa" w:w="80"/>
              <w:left w:type="dxa" w:w="100"/>
              <w:bottom w:type="dxa" w:w="80"/>
              <w:right w:type="dxa" w:w="100"/>
            </w:tcMar>
          </w:tcPr>
          <w:p>
            <w:r>
              <w:rPr>
                <w:b w:val="false"/>
                <w:bCs w:val="false"/>
                <w:sz w:val="20"/>
                <w:szCs w:val="20"/>
              </w:rPr>
              <w:t xml:space="preserve">Anchor position</w:t>
            </w:r>
          </w:p>
        </w:tc>
        <w:tc>
          <w:tcPr>
            <w:tcW w:type="dxa" w:w="2600"/>
            <w:tcMar>
              <w:top w:type="dxa" w:w="80"/>
              <w:left w:type="dxa" w:w="100"/>
              <w:bottom w:type="dxa" w:w="80"/>
              <w:right w:type="dxa" w:w="100"/>
            </w:tcMar>
          </w:tcPr>
          <w:p>
            <w:r>
              <w:rPr>
                <w:b w:val="false"/>
                <w:bCs w:val="false"/>
                <w:sz w:val="20"/>
                <w:szCs w:val="20"/>
              </w:rPr>
              <w:t xml:space="preserve">BuildingSaveData.Q / .R (existing)</w:t>
            </w:r>
          </w:p>
        </w:tc>
        <w:tc>
          <w:tcPr>
            <w:tcW w:type="dxa" w:w="4560"/>
            <w:tcMar>
              <w:top w:type="dxa" w:w="80"/>
              <w:left w:type="dxa" w:w="100"/>
              <w:bottom w:type="dxa" w:w="80"/>
              <w:right w:type="dxa" w:w="100"/>
            </w:tcMar>
          </w:tcPr>
          <w:p>
            <w:r>
              <w:rPr>
                <w:b w:val="false"/>
                <w:bCs w:val="false"/>
                <w:sz w:val="20"/>
                <w:szCs w:val="20"/>
              </w:rPr>
              <w:t xml:space="preserve">Unchanged — the footprint is resolved relative to this anchor at placement/load time.</w:t>
            </w:r>
          </w:p>
        </w:tc>
      </w:tr>
      <w:tr>
        <w:tc>
          <w:tcPr>
            <w:tcW w:type="dxa" w:w="2200"/>
            <w:tcMar>
              <w:top w:type="dxa" w:w="80"/>
              <w:left w:type="dxa" w:w="100"/>
              <w:bottom w:type="dxa" w:w="80"/>
              <w:right w:type="dxa" w:w="100"/>
            </w:tcMar>
          </w:tcPr>
          <w:p>
            <w:r>
              <w:rPr>
                <w:b w:val="false"/>
                <w:bCs w:val="false"/>
                <w:sz w:val="20"/>
                <w:szCs w:val="20"/>
              </w:rPr>
              <w:t xml:space="preserve">Rotation</w:t>
            </w:r>
          </w:p>
        </w:tc>
        <w:tc>
          <w:tcPr>
            <w:tcW w:type="dxa" w:w="2600"/>
            <w:tcMar>
              <w:top w:type="dxa" w:w="80"/>
              <w:left w:type="dxa" w:w="100"/>
              <w:bottom w:type="dxa" w:w="80"/>
              <w:right w:type="dxa" w:w="100"/>
            </w:tcMar>
          </w:tcPr>
          <w:p>
            <w:r>
              <w:rPr>
                <w:b w:val="false"/>
                <w:bCs w:val="false"/>
                <w:sz w:val="20"/>
                <w:szCs w:val="20"/>
              </w:rPr>
              <w:t xml:space="preserve">BuildingSaveData (new)</w:t>
            </w:r>
          </w:p>
        </w:tc>
        <w:tc>
          <w:tcPr>
            <w:tcW w:type="dxa" w:w="4560"/>
            <w:tcMar>
              <w:top w:type="dxa" w:w="80"/>
              <w:left w:type="dxa" w:w="100"/>
              <w:bottom w:type="dxa" w:w="80"/>
              <w:right w:type="dxa" w:w="100"/>
            </w:tcMar>
          </w:tcPr>
          <w:p>
            <w:r>
              <w:rPr>
                <w:b w:val="false"/>
                <w:bCs w:val="false"/>
                <w:sz w:val="20"/>
                <w:szCs w:val="20"/>
              </w:rPr>
              <w:t xml:space="preserve">0–5, one of the six hex rotation steps. Needed because an irregular footprint reads differently depending on orientation.</w:t>
            </w:r>
          </w:p>
        </w:tc>
      </w:tr>
      <w:tr>
        <w:tc>
          <w:tcPr>
            <w:tcW w:type="dxa" w:w="2200"/>
            <w:tcMar>
              <w:top w:type="dxa" w:w="80"/>
              <w:left w:type="dxa" w:w="100"/>
              <w:bottom w:type="dxa" w:w="80"/>
              <w:right w:type="dxa" w:w="100"/>
            </w:tcMar>
          </w:tcPr>
          <w:p>
            <w:r>
              <w:rPr>
                <w:b w:val="false"/>
                <w:bCs w:val="false"/>
                <w:sz w:val="20"/>
                <w:szCs w:val="20"/>
              </w:rPr>
              <w:t xml:space="preserve">Integrity / HP</w:t>
            </w:r>
          </w:p>
        </w:tc>
        <w:tc>
          <w:tcPr>
            <w:tcW w:type="dxa" w:w="2600"/>
            <w:tcMar>
              <w:top w:type="dxa" w:w="80"/>
              <w:left w:type="dxa" w:w="100"/>
              <w:bottom w:type="dxa" w:w="80"/>
              <w:right w:type="dxa" w:w="100"/>
            </w:tcMar>
          </w:tcPr>
          <w:p>
            <w:r>
              <w:rPr>
                <w:b w:val="false"/>
                <w:bCs w:val="false"/>
                <w:sz w:val="20"/>
                <w:szCs w:val="20"/>
              </w:rPr>
              <w:t xml:space="preserve">BuildingSaveData (new)</w:t>
            </w:r>
          </w:p>
        </w:tc>
        <w:tc>
          <w:tcPr>
            <w:tcW w:type="dxa" w:w="4560"/>
            <w:tcMar>
              <w:top w:type="dxa" w:w="80"/>
              <w:left w:type="dxa" w:w="100"/>
              <w:bottom w:type="dxa" w:w="80"/>
              <w:right w:type="dxa" w:w="100"/>
            </w:tcMar>
          </w:tcPr>
          <w:p>
            <w:r>
              <w:rPr>
                <w:b w:val="false"/>
                <w:bCs w:val="false"/>
                <w:sz w:val="20"/>
                <w:szCs w:val="20"/>
              </w:rPr>
              <w:t xml:space="preserve">Current and max integrity. A destroyed building is a live combat outcome, not just a tier-0 reset — exact consequences are open (§6).</w:t>
            </w:r>
          </w:p>
        </w:tc>
      </w:tr>
    </w:tbl>
    <w:p>
      <w:pPr>
        <w:pStyle w:val="Heading2"/>
        <w:spacing w:after="80" w:before="200"/>
      </w:pPr>
      <w:r>
        <w:t xml:space="preserve">4a. Combat Translation</w:t>
      </w:r>
    </w:p>
    <w:p>
      <w:pPr>
        <w:spacing w:after="160"/>
      </w:pPr>
      <w:r>
        <w:t xml:space="preserve">Per the walls-are-solid decision already locked in: every hex in a building's footprint becomes, on the combat grid,</w:t>
      </w:r>
    </w:p>
    <w:p>
      <w:pPr>
        <w:pStyle w:val="ListParagraph"/>
        <w:numPr>
          <w:ilvl w:val="0"/>
          <w:numId w:val="1"/>
        </w:numPr>
        <w:spacing w:after="60"/>
      </w:pPr>
      <w:r>
        <w:t xml:space="preserve">TileData.IsBlocked = true — units cannot stand there and must path around it.</w:t>
      </w:r>
    </w:p>
    <w:p>
      <w:pPr>
        <w:pStyle w:val="ListParagraph"/>
        <w:numPr>
          <w:ilvl w:val="0"/>
          <w:numId w:val="1"/>
        </w:numPr>
        <w:spacing w:after="60"/>
      </w:pPr>
      <w:r>
        <w:t xml:space="preserve">TileData.BlocksLineOfSight = true — ranged/targeting effects treat it as solid.</w:t>
      </w:r>
    </w:p>
    <w:p>
      <w:pPr>
        <w:pStyle w:val="ListParagraph"/>
        <w:numPr>
          <w:ilvl w:val="0"/>
          <w:numId w:val="1"/>
        </w:numPr>
        <w:spacing w:after="60"/>
      </w:pPr>
      <w:r>
        <w:t xml:space="preserve">TileData.IsWalkable stays true at the data level — IsBlocked is what actually gates entry (TileData.CanEnter). Keeping the two separate is what makes "enterable interiors" a future per-building flag instead of a rule change: a building that later gains an interior just stops setting IsBlocked on its own footprint, nothing else about the terrain model moves.</w:t>
      </w:r>
    </w:p>
    <w:p>
      <w:pPr>
        <w:pStyle w:val="ListParagraph"/>
        <w:numPr>
          <w:ilvl w:val="0"/>
          <w:numId w:val="1"/>
        </w:numPr>
        <w:spacing w:after="60"/>
      </w:pPr>
      <w:r>
        <w:t xml:space="preserve">TileData.ObstacleKind = "building:" + buildingId — carries identity for anything that needs to key off which building is standing there (destruction, interior transitions, bespoke visuals).</w:t>
      </w:r>
    </w:p>
    <w:p>
      <w:pPr>
        <w:spacing w:after="160"/>
      </w:pPr>
      <w:r>
        <w:t xml:space="preserve">A nice existing hook for destruction: TileData already has a "rubble" terrain modifier (ApplyTerrainModifier) used elsewhere for damaged terrain. A destroyed building's footprint becoming rubble — blocked ground with a real mechanical identity, rather than reverting to open lawn — may be the natural landing spot for that outcome. Not locked in; flagged as the obvious candidate.</w:t>
      </w:r>
    </w:p>
    <w:p>
      <w:pPr>
        <w:pStyle w:val="Heading1"/>
        <w:spacing w:after="120" w:before="300"/>
      </w:pPr>
      <w:r>
        <w:t xml:space="preserve">5. Implementation Hooks</w:t>
      </w:r>
    </w:p>
    <w:p>
      <w:pPr>
        <w:spacing w:after="160"/>
      </w:pPr>
      <w:r>
        <w:t xml:space="preserve">Concrete, additive schema changes this design implies. None of these are built yet — listed here as the delta from the campus hex map work already in place, following the same additive discipline EternalLedger's own header comment already calls for ("Phase 3 expands this into the spatial model — additively, on this same object").</w:t>
      </w:r>
    </w:p>
    <w:p>
      <w:pPr>
        <w:pStyle w:val="ListParagraph"/>
        <w:numPr>
          <w:ilvl w:val="0"/>
          <w:numId w:val="1"/>
        </w:numPr>
        <w:spacing w:after="60"/>
      </w:pPr>
      <w:r>
        <w:t xml:space="preserve">Building template (wherever Building.cs / Data/Buildings/*.json defines a building type) gains a footprint field — a list of relative (dq, dr) offsets from the anchor. Godot-free, matching the existing plain-data convention (GuildSaveData, CampusMapSaveData).</w:t>
      </w:r>
    </w:p>
    <w:p>
      <w:pPr>
        <w:pStyle w:val="ListParagraph"/>
        <w:numPr>
          <w:ilvl w:val="0"/>
          <w:numId w:val="1"/>
        </w:numPr>
        <w:spacing w:after="60"/>
      </w:pPr>
      <w:r>
        <w:t xml:space="preserve">BuildingSaveData gains Rotation, MaxIntegrity, CurrentIntegrity, IsDestroyed — additive fields alongside the existing Id/Tier/Category/Q/R/IsPlaced.</w:t>
      </w:r>
    </w:p>
    <w:p>
      <w:pPr>
        <w:pStyle w:val="ListParagraph"/>
        <w:numPr>
          <w:ilvl w:val="0"/>
          <w:numId w:val="1"/>
        </w:numPr>
        <w:spacing w:after="60"/>
      </w:pPr>
      <w:r>
        <w:t xml:space="preserve">CampusHexGrid.TryPlaceBuilding must validate and claim EVERY footprint hex (rotated), not just the anchor — a real change to today's single-hex implementation, not just an addition.</w:t>
      </w:r>
    </w:p>
    <w:p>
      <w:pPr>
        <w:pStyle w:val="ListParagraph"/>
        <w:numPr>
          <w:ilvl w:val="0"/>
          <w:numId w:val="1"/>
        </w:numPr>
        <w:spacing w:after="60"/>
      </w:pPr>
      <w:r>
        <w:t xml:space="preserve">CampusHex needs to represent "one hex of a multi-hex building" — clicking any footprint hex should select the whole building, but only the anchor hex (or a designated "front" hex) renders the actual building visual.</w:t>
      </w:r>
    </w:p>
    <w:p>
      <w:pPr>
        <w:pStyle w:val="ListParagraph"/>
        <w:numPr>
          <w:ilvl w:val="0"/>
          <w:numId w:val="1"/>
        </w:numPr>
        <w:spacing w:after="60"/>
      </w:pPr>
      <w:r>
        <w:t xml:space="preserve">A new WallsMapSaveData (or similar) for the Walls Map arena — likely EternalLedger-resident like CampusMap, since the wall configuration is presumably as persistent as the town itself. Whether it's authored once like CampusMapSaveData.GenerateDefault or derived from the Gatehouse building's tier is open (§6).</w:t>
      </w:r>
    </w:p>
    <w:p>
      <w:pPr>
        <w:pStyle w:val="ListParagraph"/>
        <w:numPr>
          <w:ilvl w:val="0"/>
          <w:numId w:val="1"/>
        </w:numPr>
        <w:spacing w:after="60"/>
      </w:pPr>
      <w:r>
        <w:t xml:space="preserve">EncounterContextCarrier gains an attack-vector flag (WallSiege / DockRaid / PortalStrike) alongside the already-proposed IsCampusDefense, since each vector loads a different arena and a different entry point.</w:t>
      </w:r>
    </w:p>
    <w:p>
      <w:pPr>
        <w:pStyle w:val="ListParagraph"/>
        <w:numPr>
          <w:ilvl w:val="0"/>
          <w:numId w:val="1"/>
        </w:numPr>
        <w:spacing w:after="60"/>
      </w:pPr>
      <w:r>
        <w:t xml:space="preserve">CombatManager.ConfigureAndGenerateMap() branches per vector — this is the seam identified earlier; the branch logic itself still depends on whichever file actually instantiates HexTile/TileData pairs during generation, not yet reviewed.</w:t>
      </w:r>
    </w:p>
    <w:p>
      <w:pPr>
        <w:pStyle w:val="Heading1"/>
        <w:spacing w:after="120" w:before="300"/>
      </w:pPr>
      <w:r>
        <w:t xml:space="preserve">6. Open Questions / Deferred</w:t>
      </w:r>
    </w:p>
    <w:p>
      <w:pPr>
        <w:pStyle w:val="ListParagraph"/>
        <w:numPr>
          <w:ilvl w:val="0"/>
          <w:numId w:val="1"/>
        </w:numPr>
        <w:spacing w:after="60"/>
      </w:pPr>
      <w:r>
        <w:t xml:space="preserve">Building interior entry — explicitly deferred. Footprints are impassable/LoS-blocking now; entering buildings is a later development stage.</w:t>
      </w:r>
    </w:p>
    <w:p>
      <w:pPr>
        <w:pStyle w:val="ListParagraph"/>
        <w:numPr>
          <w:ilvl w:val="0"/>
          <w:numId w:val="1"/>
        </w:numPr>
        <w:spacing w:after="60"/>
      </w:pPr>
      <w:r>
        <w:t xml:space="preserve">Walls Map generation — procedurally generated per Gatehouse tier, or authored once like the Town Map's CampusMapSaveData.GenerateDefault? Affects whether it needs its own save schema at all or can be derived at encounter time.</w:t>
      </w:r>
    </w:p>
    <w:p>
      <w:pPr>
        <w:pStyle w:val="ListParagraph"/>
        <w:numPr>
          <w:ilvl w:val="0"/>
          <w:numId w:val="1"/>
        </w:numPr>
        <w:spacing w:after="60"/>
      </w:pPr>
      <w:r>
        <w:t xml:space="preserve">Breach-to-edge authoring format — how the wall-segment → Town-Map-edge mapping gets authored and stored (§2a).</w:t>
      </w:r>
    </w:p>
    <w:p>
      <w:pPr>
        <w:pStyle w:val="ListParagraph"/>
        <w:numPr>
          <w:ilvl w:val="0"/>
          <w:numId w:val="1"/>
        </w:numPr>
        <w:spacing w:after="60"/>
      </w:pPr>
      <w:r>
        <w:t xml:space="preserve">The portal "code" mechanic — how a rival kingdom discovers it. Tied to faction reputation/hostility? An espionage system (the Illusion Theater's "espionage missions against rival factions", guild_campus_v2 §2)? A pure narrative/random trigger? Unresolved.</w:t>
      </w:r>
    </w:p>
    <w:p>
      <w:pPr>
        <w:pStyle w:val="ListParagraph"/>
        <w:numPr>
          <w:ilvl w:val="0"/>
          <w:numId w:val="1"/>
        </w:numPr>
        <w:spacing w:after="60"/>
      </w:pPr>
      <w:r>
        <w:t xml:space="preserve">Dock vs. Skydock determination — presumably read from the guild's starting-location terrain (the world data described in single_world_refactor_v2 §3), but not yet wired to anything campus-side.</w:t>
      </w:r>
    </w:p>
    <w:p>
      <w:pPr>
        <w:pStyle w:val="ListParagraph"/>
        <w:numPr>
          <w:ilvl w:val="0"/>
          <w:numId w:val="1"/>
        </w:numPr>
        <w:spacing w:after="60"/>
      </w:pPr>
      <w:r>
        <w:t xml:space="preserve">Destruction consequences — is a destroyed building permanently lost, repairable at a gold/material cost, or does it revert to Tier 0? Does destruction ripple into loyalty/morale the way companion permadeath does (companion_item_systems_v1 §2b)?</w:t>
      </w:r>
    </w:p>
    <w:p>
      <w:pPr>
        <w:pStyle w:val="ListParagraph"/>
        <w:numPr>
          <w:ilvl w:val="0"/>
          <w:numId w:val="1"/>
        </w:numPr>
        <w:spacing w:after="60"/>
      </w:pPr>
      <w:r>
        <w:t xml:space="preserve">Non-deployed companions defending "secondary fronts" during Phase 2 (convergence.docx §7) — does that reuse this same Town Map, or a separate abstraction? Their effectiveness is already specified as level/morale-dependent; where they stand physically is not.</w:t>
      </w:r>
    </w:p>
    <w:p>
      <w:pPr>
        <w:pStyle w:val="ListParagraph"/>
        <w:numPr>
          <w:ilvl w:val="0"/>
          <w:numId w:val="1"/>
        </w:numPr>
        <w:spacing w:after="60"/>
      </w:pPr>
      <w:r>
        <w:t xml:space="preserve">Siege equipment on the Walls Map's exterior hexes — types, behavior, and what "destroy it during a sortie" actually looks like mechanically.</w:t>
      </w:r>
    </w:p>
    <w:p>
      <w:pPr>
        <w:pStyle w:val="ListParagraph"/>
        <w:numPr>
          <w:ilvl w:val="0"/>
          <w:numId w:val="1"/>
        </w:numPr>
        <w:spacing w:after="60"/>
      </w:pPr>
      <w:r>
        <w:t xml:space="preserve">Footprint authoring format — likely a small offset list or 2D shape grid inside each building's existing Data/Buildings/*.json definition, consistent with how BuildingDatabase already loads templates; exact shape not yet designed.</w:t>
      </w:r>
    </w:p>
    <w:p>
      <w:pPr>
        <w:spacing w:before="300"/>
      </w:pPr>
      <w:r>
        <w:rPr>
          <w:i/>
          <w:iCs/>
          <w:color w:val="555555"/>
          <w:sz w:val="18"/>
          <w:szCs w:val="18"/>
        </w:rPr>
        <w:t xml:space="preserve">Document Notes: This document assumes the campus hex map schema already in place (CampusMapSaveData, CampusHexGrid, BuildingSaveData.Q/R/IsPlaced) as its foundation and extends it additively per §5. It does not yet specify combat-side generation code (the HexGridManager partial that pairs TileData with instantiated HexTile views was not available for review at time of writing) — that remains the next concrete step once the open questions in §6 that affect schema (footprint format, integrity/destruction rules, Walls Map persistence) are resolved.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2026-07-14T17:34:59.862Z</dcterms:created>
  <dcterms:modified xsi:type="dcterms:W3CDTF">2026-07-14T17:34:59.884Z</dcterms:modified>
</cp:coreProperties>
</file>

<file path=docProps/custom.xml><?xml version="1.0" encoding="utf-8"?>
<Properties xmlns="http://schemas.openxmlformats.org/officeDocument/2006/custom-properties" xmlns:vt="http://schemas.openxmlformats.org/officeDocument/2006/docPropsVTypes"/>
</file>