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pBdr>
          <w:bottom w:val="single" w:color="000000" w:sz="36" w:space="1"/>
        </w:pBdr>
        <w:spacing w:after="200"/>
      </w:pPr>
    </w:p>
    <w:p>
      <w:pPr>
        <w:spacing w:after="600"/>
      </w:pPr>
    </w:p>
    <w:p>
      <w:pPr>
        <w:spacing w:after="300"/>
        <w:jc w:val="right"/>
      </w:pPr>
      <w:r>
        <w:rPr>
          <w:b/>
          <w:bCs/>
          <w:sz w:val="56"/>
          <w:szCs w:val="56"/>
        </w:rPr>
        <w:t xml:space="preserve">Documentação de Projeto</w:t>
      </w:r>
    </w:p>
    <w:p>
      <w:pPr>
        <w:spacing w:after="200"/>
        <w:jc w:val="right"/>
      </w:pPr>
      <w:r>
        <w:rPr>
          <w:b/>
          <w:bCs/>
          <w:sz w:val="28"/>
          <w:szCs w:val="28"/>
        </w:rPr>
        <w:t xml:space="preserve">para o sistema</w:t>
      </w:r>
    </w:p>
    <w:p>
      <w:pPr>
        <w:spacing w:after="400"/>
        <w:jc w:val="right"/>
      </w:pPr>
      <w:r>
        <w:rPr>
          <w:b/>
          <w:bCs/>
          <w:sz w:val="52"/>
          <w:szCs w:val="52"/>
        </w:rPr>
        <w:t xml:space="preserve">MecaFlow</w:t>
      </w:r>
    </w:p>
    <w:p>
      <w:pPr>
        <w:spacing w:after="500"/>
        <w:jc w:val="right"/>
      </w:pPr>
      <w:r>
        <w:rPr>
          <w:b/>
          <w:bCs/>
          <w:sz w:val="24"/>
          <w:szCs w:val="24"/>
        </w:rPr>
        <w:t xml:space="preserve">Versão 1.0</w:t>
      </w:r>
    </w:p>
    <w:p>
      <w:pPr>
        <w:jc w:val="right"/>
      </w:pPr>
      <w:r>
        <w:rPr>
          <w:sz w:val="22"/>
          <w:szCs w:val="22"/>
        </w:rPr>
        <w:t xml:space="preserve">Projeto de sistema elaborado pelo aluno Lucas José Lopes Ferreira</w:t>
      </w:r>
    </w:p>
    <w:p>
      <w:pPr>
        <w:spacing w:after="500"/>
        <w:jc w:val="right"/>
      </w:pPr>
      <w:r>
        <w:rPr>
          <w:sz w:val="22"/>
          <w:szCs w:val="22"/>
        </w:rPr>
        <w:t xml:space="preserve">como parte da disciplina </w:t>
      </w:r>
      <w:r>
        <w:rPr>
          <w:b/>
          <w:bCs/>
          <w:sz w:val="22"/>
          <w:szCs w:val="22"/>
        </w:rPr>
        <w:t xml:space="preserve">Projeto de Software</w:t>
      </w:r>
      <w:r>
        <w:rPr>
          <w:sz w:val="22"/>
          <w:szCs w:val="22"/>
        </w:rPr>
        <w:t xml:space="preserve">.</w:t>
      </w:r>
    </w:p>
    <w:p>
      <w:pPr>
        <w:spacing w:after="800"/>
        <w:jc w:val="right"/>
      </w:pPr>
      <w:r>
        <w:rPr>
          <w:b/>
          <w:bCs/>
          <w:sz w:val="22"/>
          <w:szCs w:val="22"/>
        </w:rPr>
        <w:t xml:space="preserve">10 de junho de 2026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pBdr>
          <w:bottom w:val="single" w:color="000000" w:sz="36" w:space="1"/>
        </w:pBdr>
        <w:spacing w:after="200"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32"/>
          <w:szCs w:val="32"/>
        </w:rPr>
        <w:t xml:space="preserve">Tabela de Conteúdo</w:t>
      </w:r>
    </w:p>
    <w:sdt>
      <w:sdtPr>
        <w:alias w:val="Tabela de Conteú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300" w:before="100"/>
      </w:pPr>
      <w:r>
        <w:rPr>
          <w:i/>
          <w:iCs/>
          <w:color w:val="777777"/>
          <w:sz w:val="18"/>
          <w:szCs w:val="18"/>
        </w:rPr>
        <w:t xml:space="preserve">(No Word, clique sobre o sumário e pressione F9 para atualizar os números de página.)</w:t>
      </w:r>
    </w:p>
    <w:p>
      <w:pPr>
        <w:spacing w:after="200" w:before="200"/>
      </w:pPr>
      <w:r>
        <w:rPr>
          <w:b/>
          <w:bCs/>
          <w:sz w:val="32"/>
          <w:szCs w:val="32"/>
        </w:rPr>
        <w:t xml:space="preserve">Histórico de Revisões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226"/>
        <w:gridCol w:w="16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Razões para Mudança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Versão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Lucas José Lopes Ferreira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10/06/2026</w:t>
            </w:r>
          </w:p>
        </w:tc>
        <w:tc>
          <w:tcPr>
            <w:tcW w:type="dxa" w:w="3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Versão inicial do documento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/>
        <w:jc w:val="both"/>
      </w:pPr>
      <w:r>
        <w:t xml:space="preserve">Este documento reúne os modelos de usuário, de projeto e de dados do MecaFlow, um sistema de gestão para oficinas mecânicas de pequeno e médio porte. O MecaFlow cobre o ciclo completo do reparo: o atendente cadastra cliente e veículo, agenda o serviço, emite o orçamento e, com a aprovação do cliente, abre a ordem de serviço; o mecânico executa o reparo e lança os serviços e as peças consumidas; o sistema debita o estoque a cada peça lançada; o pagamento encerra o ciclo e o atendimento fica registrado no histórico do veículo.</w:t>
      </w:r>
    </w:p>
    <w:p>
      <w:pPr>
        <w:spacing w:after="160"/>
        <w:jc w:val="both"/>
      </w:pPr>
      <w:r>
        <w:t xml:space="preserve">O escopo desta etapa cobre a modelagem e a arquitetura do sistema. O documento não trata da implementação do código. Todos os diagramas foram produzidos em PlantUML; os arquivos-fonte (.puml) e as imagens renderizadas estão versionados no repositório do projeto, na pasta docs/diagrams.</w:t>
      </w:r>
    </w:p>
    <w:p>
      <w:pPr>
        <w:spacing w:after="160"/>
        <w:jc w:val="both"/>
      </w:pPr>
      <w:r>
        <w:t xml:space="preserve">O documento segue esta organização: a Seção 2 descreve os atores, o modelo de casos de uso, as histórias de usuário, os diagramas de sequência do sistema e os contratos de operação; a Seção 3 apresenta os modelos de projeto (arquitetura, componentes, implantação, classes, sequência, comunicação e estados); a Seção 4 apresenta o modelo de dados.</w:t>
      </w:r>
    </w:p>
    <w:p>
      <w:pPr>
        <w:pStyle w:val="Heading1"/>
      </w:pPr>
      <w:r>
        <w:t xml:space="preserve">2. Modelos de Usuário e Requisitos</w:t>
      </w:r>
    </w:p>
    <w:p>
      <w:pPr>
        <w:pStyle w:val="Heading2"/>
      </w:pPr>
      <w:r>
        <w:t xml:space="preserve">2.1 Descrição de Atores</w:t>
      </w:r>
    </w:p>
    <w:p>
      <w:pPr>
        <w:spacing w:after="160"/>
        <w:jc w:val="both"/>
      </w:pPr>
      <w:r>
        <w:t xml:space="preserve">Três atores interagem com o MecaFlow. A tabela abaixo descreve o papel e as responsabilidades de cada um.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Ator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 e responsabilidades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Dono ou gerente da oficina. Gerencia os usuários do sistema, o catálogo de serviços e os fornecedores, e consulta os relatórios gerenciais de faturamento e produtividade (UC-02, UC-03, UC-04, UC-18).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Atendente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Responsável pela recepção. Cadastra clientes, veículos e peças, agenda serviços, emite orçamentos, registra a decisão do cliente, abre ordens de serviço, atribui mecânicos e registra pagamentos (UC-05 a UC-12, UC-16, UC-17).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Mecânico</w:t>
            </w:r>
          </w:p>
        </w:tc>
        <w:tc>
          <w:tcPr>
            <w:tcW w:type="dxa" w:w="6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Executa o reparo. Atualiza o status da ordem de serviço, lança os serviços e as peças consumidas, conclui a OS e consulta o histórico do veículo (UC-13, UC-14, UC-15, UC-17).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Modelo de Casos de Uso e Histórias de Usuários</w:t>
      </w:r>
    </w:p>
    <w:p>
      <w:pPr>
        <w:spacing w:after="160"/>
        <w:jc w:val="both"/>
      </w:pPr>
      <w:r>
        <w:t xml:space="preserve">A Figura 1 apresenta o diagrama de casos de uso do MecaFlow. Cada caso de uso recebe um identificador (UC-01 a UC-22) usado como referência no restante deste documento. Os relacionamentos de inclusão marcam comportamento obrigatório e reutilizado: UC-09 (Emitir orçamento) e UC-15 (Concluir ordem de serviço) incluem UC-19 (Calcular valor total). Os relacionamentos de extensão marcam comportamento condicional, com as condições listadas na legenda do diagrama: a baixa de estoque (UC-20) estende o lançamento de itens (UC-14), o alerta de estoque mínimo (UC-21) estende a baixa, e o desconto (UC-22) estende o pagamento (UC-16). A pré-condição de UC-11 (orçamento aprovado) aparece como nota, e não como relacionamento.</w:t>
      </w:r>
    </w:p>
    <w:p>
      <w:pPr>
        <w:spacing w:after="60" w:before="120"/>
        <w:jc w:val="center"/>
      </w:pPr>
      <w:r>
        <w:drawing>
          <wp:inline distT="0" distB="0" distL="0" distR="0">
            <wp:extent cx="1962150" cy="800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1. Diagrama de casos de uso do MecaFlow.</w:t>
      </w:r>
    </w:p>
    <w:p>
      <w:pPr>
        <w:spacing w:after="160"/>
        <w:jc w:val="both"/>
      </w:pPr>
      <w:r>
        <w:t xml:space="preserve">As histórias de usuário abaixo resumem o valor que cada ator espera do sistema: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HU-01: Como atendente, quero cadastrar o cliente e seus veículos uma única vez para reaproveitar os dados em todos os atendimentos (UC-06, UC-07).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HU-02: Como atendente, quero emitir um orçamento com itens de serviço e peça para o cliente decidir com o valor fechado (UC-09).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HU-03: Como atendente, quero abrir a ordem de serviço a partir de um orçamento aprovado para garantir que só serviço autorizado entre na oficina (UC-10, UC-11).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HU-04: Como mecânico, quero atualizar o status da OS e lançar o que consumi para o atendente acompanhar o reparo sem me interromper (UC-13, UC-14).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HU-05: Como administrador, quero relatórios de faturamento e produtividade para decidir preço e escala da equipe (UC-18).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t xml:space="preserve">HU-06: Como atendente, quero que cada peça lançada debite o estoque para o saldo do sistema refletir a prateleira (UC-20, UC-21).</w:t>
      </w:r>
    </w:p>
    <w:p>
      <w:pPr>
        <w:spacing w:after="200"/>
      </w:pPr>
    </w:p>
    <w:p>
      <w:pPr>
        <w:pStyle w:val="Heading2"/>
      </w:pPr>
      <w:r>
        <w:t xml:space="preserve">2.3 Diagrama de Sequência do Sistema e Contrato de Operações</w:t>
      </w:r>
    </w:p>
    <w:p>
      <w:pPr>
        <w:spacing w:after="160"/>
        <w:jc w:val="both"/>
      </w:pPr>
      <w:r>
        <w:t xml:space="preserve">Os diagramas de sequência do sistema (DSS) abaixo tratam o MecaFlow como caixa-preta e mostram a troca de mensagens entre o ator e o sistema para três casos de uso centrais: UC-09 (Emitir orçamento), UC-11 (Abrir ordem de serviço) e UC-16 (Registrar pagamento). Em seguida, os contratos descrevem as operações de sistema relevantes no formato Operação, Referências cruzadas, Pré-condições e Pós-condições.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314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2. DSS do caso de uso UC-09 Emitir orçamento.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3. DSS do caso de uso UC-11 Abrir ordem de serviço.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4. DSS do caso de uso UC-16 Registrar pagamento.</w:t>
      </w:r>
    </w:p>
    <w:p>
      <w:pPr>
        <w:spacing w:after="160"/>
        <w:jc w:val="both"/>
      </w:pPr>
      <w:r>
        <w:t xml:space="preserve">Contratos de operação: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CO-01: confirmarEmissao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Operação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confirmarEmissao(dataValidade)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Referências cruzadas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UC-09 Emitir orçamento; Figura 2.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Existe um orçamento em elaboração com pelo menos um item; o cliente e o veículo estão cadastrados.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Uma instância de Orcamento foi criada e persistida com status PENDENTE; o atributo valorTotal foi calculado como a soma dos itens (UC-19); o número do orçamento foi gerado; a dataValidade foi registrada; as associações com Cliente e Veiculo foram estabelecidas.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CO-02: registrarDecisaoOrcamento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Operação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registrarDecisaoOrcamento(orcamentoId, decisao)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Referências cruzadas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UC-10 Registrar decisão do orçamento.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orçamento existe com status PENDENTE e está dentro do prazo de validade.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atributo status do Orcamento foi alterado para APROVADO ou REJEITADO, conforme a decisão informada pelo cliente; a data da decisão foi registrada.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CO-03: abrirOrdemServico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Operação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abrirOrdemServico(orcamentoId, mecanicoId, kmEntrada)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Referências cruzadas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UC-11 Abrir ordem de serviço; UC-20 Dar baixa no estoque; Figura 3.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orçamento está APROVADO e ainda não originou uma OS; o mecânico está ativo; para cada item de peça, quantidadeEstoque é maior ou igual à quantidade solicitada.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Uma instância de OrdemServico foi criada com status ABERTA e número gerado; os itens do orçamento foram copiados para a OS; o atributo quantidadeEstoque de cada Peca foi decrementado na quantidade lançada; as associações com Orcamento, Cliente, Veiculo e Mecanico foram estabelecidas.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Contrato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CO-04: registrarPagamento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Operação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registrarPagamento(osId, formaPagamento, parcelas)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Referências cruzadas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UC-16 Registrar pagamento; UC-22 Aplicar desconto; Figura 4.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Pré-condições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 ordem de serviço está com status CONCLUIDA e não possui pagamento com status PAGO vinculado.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Pós-condições</w:t>
            </w:r>
          </w:p>
        </w:tc>
        <w:tc>
          <w:tcPr>
            <w:tcW w:type="dxa" w:w="6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Uma instância de Pagamento foi criada com status PAGO, valor igual ao valorTotal da OS (com desconto, quando concedido) e forma de pagamento registrada; a associação com a OrdemServico foi estabelecida; a OS ficou apta à transição para ENTREGUE.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Modelos de Projeto</w:t>
      </w:r>
    </w:p>
    <w:p>
      <w:pPr>
        <w:pStyle w:val="Heading2"/>
      </w:pPr>
      <w:r>
        <w:t xml:space="preserve">3.1 Arquitetura</w:t>
      </w:r>
    </w:p>
    <w:p>
      <w:pPr>
        <w:spacing w:after="160"/>
        <w:jc w:val="both"/>
      </w:pPr>
      <w:r>
        <w:t xml:space="preserve">O MecaFlow adota uma arquitetura de monólito modular em camadas. A API REST em Spring Boot segue o padrão MVC com Service Layer e Repository, e o front-end React consome essa API por HTTPS/JSON.</w:t>
      </w:r>
    </w:p>
    <w:p>
      <w:pPr>
        <w:spacing w:after="160"/>
        <w:jc w:val="both"/>
      </w:pPr>
      <w:r>
        <w:t xml:space="preserve">As camadas do back-end têm responsabilidades fixas. O Controller recebe as requisições HTTP, valida o formato de entrada e delega para o serviço, sem regra de negócio. O Service concentra as regras do domínio (abertura de OS, aprovação de orçamento, baixa de estoque), controla as transações e orquestra os repositórios. O Repository, com Spring Data JPA, abstrai o acesso ao PostgreSQL. DTOs e Mappers isolam as entidades das respostas da API. Um filtro de segurança valida o token JWT antes de cada requisição chegar ao Controller, e um Exception Handler global padroniza as respostas de erro.</w:t>
      </w:r>
    </w:p>
    <w:p>
      <w:pPr>
        <w:spacing w:after="160"/>
        <w:jc w:val="both"/>
      </w:pPr>
      <w:r>
        <w:t xml:space="preserve">A equipe escolheu o monólito modular por três razões: o escopo é um sistema de gestão único, a equipe é pequena e o deploy precisa ser simples. Microsserviços trariam custo operacional sem benefício neste porte. Os módulos (clientes, veículos, orçamentos, ordens de serviço, estoque) ficam isolados por pacote, o que permite extrair um serviço no futuro se o sistema crescer. Como trade-off, o monólito compartilha um único banco e um único processo: uma falha grave derruba o sistema inteiro e a escala é vertical. Para o porte de uma oficina, a simplicidade compensa essas limitações.</w:t>
      </w:r>
    </w:p>
    <w:p>
      <w:pPr>
        <w:spacing w:after="160"/>
        <w:jc w:val="both"/>
      </w:pPr>
      <w:r>
        <w:t xml:space="preserve">A Figura 5 resume a arquitetura em nível de contêineres: o navegador executa a SPA React, que consome a API Spring Boot por HTTPS/JSON, e a API persiste os dados no PostgreSQL.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10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0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5. Visão de contêineres do MecaFlow (estilo C4).</w:t>
      </w:r>
    </w:p>
    <w:p>
      <w:pPr>
        <w:spacing w:after="160"/>
        <w:jc w:val="both"/>
      </w:pPr>
      <w:r>
        <w:t xml:space="preserve">O diagrama de componentes da Seção 3.2 (Figura 6) materializa essa visão em camadas com a notação UML.</w:t>
      </w:r>
    </w:p>
    <w:p>
      <w:pPr>
        <w:pStyle w:val="Heading2"/>
      </w:pPr>
      <w:r>
        <w:t xml:space="preserve">3.2 Diagrama de Componentes e Implantação</w:t>
      </w:r>
    </w:p>
    <w:p>
      <w:pPr>
        <w:spacing w:after="160"/>
        <w:jc w:val="both"/>
      </w:pPr>
      <w:r>
        <w:t xml:space="preserve">A Figura 6 mostra os componentes do sistema e as dependências entre eles: a SPA React no navegador, os componentes internos da API (segurança, controllers, DTOs, serviços, repositórios e tratamento de exceções), o banco PostgreSQL e o Flyway como responsável pelo versionamento do schema.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27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6. Diagrama de componentes do MecaFlow.</w:t>
      </w:r>
    </w:p>
    <w:p>
      <w:pPr>
        <w:spacing w:after="160"/>
        <w:jc w:val="both"/>
      </w:pPr>
      <w:r>
        <w:t xml:space="preserve">A Figura 7 mostra a alocação dos componentes para execução: o build estático do React servido pela Vercel, a API Spring Boot e o PostgreSQL em containers no Railway, e o navegador do usuário consumindo o front por HTTPS.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7. Diagrama de implantação (Docker/Cloud).</w:t>
      </w:r>
    </w:p>
    <w:p>
      <w:pPr>
        <w:pStyle w:val="Heading2"/>
      </w:pPr>
      <w:r>
        <w:t xml:space="preserve">3.3 Diagrama de Classes</w:t>
      </w:r>
    </w:p>
    <w:p>
      <w:pPr>
        <w:spacing w:after="160"/>
        <w:jc w:val="both"/>
      </w:pPr>
      <w:r>
        <w:t xml:space="preserve">A Figura 8 apresenta o modelo de domínio com 13 entidades e 7 enumerações. O ciclo de negócio aparece nas associações: Cliente possui Veiculos; Agendamento, Orcamento e OrdemServico referenciam cliente e veículo; um Orcamento aprovado origina no máximo uma OrdemServico; os itens de orçamento e de OS apontam para Servico ou Peca; Fornecedor fornece Pecas; Pagamento quita a OS. As operações de negócio ficam nas entidades que guardam o estado, como Peca.baixarEstoque(), Orcamento.aprovar() e OrdemServico.concluir().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664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8. Diagrama de classes (modelo de domínio).</w:t>
      </w:r>
    </w:p>
    <w:p>
      <w:pPr>
        <w:pStyle w:val="Heading2"/>
      </w:pPr>
      <w:r>
        <w:t xml:space="preserve">3.4 Diagramas de Sequência</w:t>
      </w:r>
    </w:p>
    <w:p>
      <w:pPr>
        <w:spacing w:after="160"/>
        <w:jc w:val="both"/>
      </w:pPr>
      <w:r>
        <w:t xml:space="preserve">Os diagramas de sequência abaixo detalham a realização de dois casos de uso na arquitetura em camadas. A Figura 9 cobre a autenticação (UC-01): o AuthController delega ao AuthService, que autentica as credenciais via AuthenticationManager e repositório e, em caso de sucesso, gera o token JWT; nas requisições seguintes, o filtro JWT valida o token antes do Controller. A Figura 10 cobre a abertura de OS (UC-11): o serviço valida o status do orçamento, reserva cada peça com baixa de estoque (UC-20) e persiste a OS com status ABERTA; estoque insuficiente ou orçamento não aprovado interrompem o fluxo com erro.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9. Diagrama de sequência da autenticação com JWT (UC-01).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990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10. Diagrama de sequência da abertura de ordem de serviço (UC-11).</w:t>
      </w:r>
    </w:p>
    <w:p>
      <w:pPr>
        <w:pStyle w:val="Heading2"/>
      </w:pPr>
      <w:r>
        <w:t xml:space="preserve">3.5 Diagramas de Comunicação</w:t>
      </w:r>
    </w:p>
    <w:p>
      <w:pPr>
        <w:spacing w:after="160"/>
        <w:jc w:val="both"/>
      </w:pPr>
      <w:r>
        <w:t xml:space="preserve">A Figura 11 apresenta a realização do UC-11 na notação de comunicação, com a numeração das mensagens indicando a ordem das interações entre os objetos: o controller recebe a requisição (1), o serviço carrega e valida o orçamento (1.1 a 1.3), reserva as peças com baixa de estoque (1.4, iterando sobre os itens) e persiste a nova OS (1.5).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11. Diagrama de comunicação da abertura de ordem de serviço (UC-11).</w:t>
      </w:r>
    </w:p>
    <w:p>
      <w:pPr>
        <w:spacing w:after="160"/>
        <w:jc w:val="both"/>
      </w:pPr>
      <w:r>
        <w:t xml:space="preserve">A Figura 12 apresenta a realização do UC-16 (registrar pagamento) na notação de comunicação: o controller recebe a requisição (1), o serviço carrega a OS e valida o status (1.1 a 1.3), registra o pagamento (1.4) e atualiza a OS para ENTREGUE quando a quitação se confirma (1.5).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200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12. Diagrama de comunicação do registro de pagamento (UC-16).</w:t>
      </w:r>
    </w:p>
    <w:p>
      <w:pPr>
        <w:pStyle w:val="Heading2"/>
      </w:pPr>
      <w:r>
        <w:t xml:space="preserve">3.6 Diagramas de Estados</w:t>
      </w:r>
    </w:p>
    <w:p>
      <w:pPr>
        <w:spacing w:after="160"/>
        <w:jc w:val="both"/>
      </w:pPr>
      <w:r>
        <w:t xml:space="preserve">A Figura 13 modela o ciclo de vida da Ordem de Serviço. A OS nasce ABERTA a partir de um orçamento aprovado, entra EM_ANDAMENTO quando o mecânico inicia o reparo e pode aguardar peça ou aprovação de item extra. A conclusão recalcula o valor total, e a entrega exige pagamento com status PAGO. O cancelamento estorna o estoque das peças reservadas.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13. Diagrama de estados da Ordem de Serviço.</w:t>
      </w:r>
    </w:p>
    <w:p>
      <w:pPr>
        <w:spacing w:after="160"/>
        <w:jc w:val="both"/>
      </w:pPr>
      <w:r>
        <w:t xml:space="preserve">A Figura 14 modela o ciclo de vida do Orçamento: nasce PENDENTE na emissão e termina APROVADO, REJEITADO ou EXPIRADO. O estado APROVADO habilita a abertura da OS (UC-11).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14. Diagrama de estados do Orçamento.</w:t>
      </w:r>
    </w:p>
    <w:p>
      <w:pPr>
        <w:pStyle w:val="Heading1"/>
      </w:pPr>
      <w:r>
        <w:t xml:space="preserve">4. Modelos de Dados</w:t>
      </w:r>
    </w:p>
    <w:p>
      <w:pPr>
        <w:spacing w:after="160"/>
        <w:jc w:val="both"/>
      </w:pPr>
      <w:r>
        <w:t xml:space="preserve">A Figura 15 apresenta o modelo entidade-relacionamento físico para PostgreSQL 16. O modelo usa nomes de tabela e coluna em snake_case, chaves primárias BIGSERIAL, chaves estrangeiras com restrição de integridade referencial e colunas únicas para os identificadores de negócio (e-mail do usuário, CPF/CNPJ do cliente, placa do veículo, código da peça e números de orçamento e de OS). Valores monetários usam NUMERIC(10,2). O Flyway versiona o schema por migrações SQL aplicadas na inicialização da aplicação.</w:t>
      </w:r>
    </w:p>
    <w:p>
      <w:pPr>
        <w:spacing w:after="160"/>
        <w:jc w:val="both"/>
      </w:pPr>
      <w:r>
        <w:t xml:space="preserve">Duas decisões de integridade merecem registro: a tabela pagamento referencia ordem_servico com chave estrangeira única, o que garante no máximo um pagamento por OS; e as tabelas de item (orcamento_item e ordem_servico_item) guardam o valor unitário praticado no momento do lançamento, o que preserva o histórico mesmo quando o preço de catálogo muda.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596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Figura 15. Modelo entidade-relacionamento (PostgreSQL).</w:t>
      </w:r>
    </w:p>
    <w:p>
      <w:pPr>
        <w:pStyle w:val="Heading2"/>
      </w:pPr>
      <w:r>
        <w:t xml:space="preserve">4.1 Estratégia de Mapeamento Objeto-Relacional</w:t>
      </w:r>
    </w:p>
    <w:p>
      <w:pPr>
        <w:spacing w:after="160"/>
        <w:jc w:val="both"/>
      </w:pPr>
      <w:r>
        <w:t xml:space="preserve">O back-end mapeia as entidades de domínio para as tabelas do PostgreSQL com JPA/Hibernate. A tabela abaixo resume as principais decisões de mapeamento adotadas.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Decisão de mapeamento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Implementação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Identificadores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Chave primária com @Id e @GeneratedValue(strategy = IDENTITY), mapeada para BIGSERIAL no PostgreSQL.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Associações um-para-muitos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@OneToMany no lado pai (Orcamento e OrdemServico para seus itens) com cascade = ALL e orphanRemoval = true, de modo que os itens seguem o ciclo de vida do dono.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Associações muitos-para-um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@ManyToOne com @JoinColumn nas pontas que carregam a chave estrangeira (item para Servico ou Peca, Veiculo para Cliente, OrdemServico para Orcamento), com busca LAZY.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Associações um-para-um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@OneToOne entre Pagamento e OrdemServico e entre Mecanico e Usuario, com chave estrangeira única que impede duplicidade.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Enumerações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@Enumerated(EnumType.STRING) para persistir o nome do valor (status e formas de pagamento) em vez do índice, o que mantém o dado legível e estável.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Versionamento do schema</w:t>
            </w:r>
          </w:p>
        </w:tc>
        <w:tc>
          <w:tcPr>
            <w:tcW w:type="dxa" w:w="5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Flyway aplica as migrações SQL versionadas (V1__init.sql e seguintes) na inicialização, sem geração automática de DDL pelo Hibernate em produção (ddl-auto = validate).</w:t>
            </w:r>
          </w:p>
        </w:tc>
      </w:tr>
    </w:tbl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Tabela 1. Estratégia de mapeamento objeto-relacional.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8" w:space="2"/>
      </w:pBdr>
      <w:tabs>
        <w:tab w:val="right" w:pos="9026"/>
      </w:tabs>
    </w:pPr>
    <w:r>
      <w:rPr>
        <w:b/>
        <w:bCs/>
        <w:i/>
        <w:iCs/>
        <w:sz w:val="18"/>
        <w:szCs w:val="18"/>
      </w:rPr>
      <w:t xml:space="preserve">Documentação de Projeto para o Sistema MecaFlow</w:t>
    </w:r>
    <w:r>
      <w:rPr>
        <w:sz w:val="18"/>
        <w:szCs w:val="18"/>
      </w:rPr>
      <w:t xml:space="preserve">	</w:t>
    </w:r>
    <w:r>
      <w:rPr>
        <w:b/>
        <w:bCs/>
        <w:i/>
        <w:iCs/>
        <w:sz w:val="18"/>
        <w:szCs w:val="18"/>
      </w:rPr>
      <w:t xml:space="preserve">Página </w:t>
    </w:r>
    <w:r>
      <w:rPr>
        <w:b/>
        <w:bCs/>
        <w:i/>
        <w:iCs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510fe98a5ee494f27c7958ab3d67a71e6162b60c.png"/><Relationship Id="rId9" Type="http://schemas.openxmlformats.org/officeDocument/2006/relationships/image" Target="media/a37d686e513720b59663068cfe461eca8d314f96.png"/><Relationship Id="rId10" Type="http://schemas.openxmlformats.org/officeDocument/2006/relationships/image" Target="media/96547bd1fd74d2b8e4b4c89d13f82c69ded68e0c.png"/><Relationship Id="rId11" Type="http://schemas.openxmlformats.org/officeDocument/2006/relationships/image" Target="media/07f10a35502583aaa04f29761944170b9f81c89b.png"/><Relationship Id="rId12" Type="http://schemas.openxmlformats.org/officeDocument/2006/relationships/image" Target="media/e18465e4c2241522fd91547d4c8f80125f696cbd.png"/><Relationship Id="rId13" Type="http://schemas.openxmlformats.org/officeDocument/2006/relationships/image" Target="media/10c5f6b9d732b026cef345a1c5267f1e7e33eaba.png"/><Relationship Id="rId14" Type="http://schemas.openxmlformats.org/officeDocument/2006/relationships/image" Target="media/99a18d7a4e575a5cb7249b1e2d76be58d3ad3866.png"/><Relationship Id="rId15" Type="http://schemas.openxmlformats.org/officeDocument/2006/relationships/image" Target="media/082b7dfaa83df1d1f84f23b392f2f6a4528a913a.png"/><Relationship Id="rId16" Type="http://schemas.openxmlformats.org/officeDocument/2006/relationships/image" Target="media/3133b00d98e99c6b0f27cfb831ecfda86f80809d.png"/><Relationship Id="rId17" Type="http://schemas.openxmlformats.org/officeDocument/2006/relationships/image" Target="media/12bb7ec4c03bd6b9796248018d886635deee0102.png"/><Relationship Id="rId18" Type="http://schemas.openxmlformats.org/officeDocument/2006/relationships/image" Target="media/bdca15e48d08f3da2cb4cf385e7e271ec7fea267.png"/><Relationship Id="rId19" Type="http://schemas.openxmlformats.org/officeDocument/2006/relationships/image" Target="media/73bff48555aaa1d86c65b22680f1cf89a8f42da1.png"/><Relationship Id="rId20" Type="http://schemas.openxmlformats.org/officeDocument/2006/relationships/image" Target="media/1fc740eb2c6ce32ea32ab2f0989f830d45c2b1a2.png"/><Relationship Id="rId21" Type="http://schemas.openxmlformats.org/officeDocument/2006/relationships/image" Target="media/1f9dac1272993d751aaad8bace416d4df430184d.png"/><Relationship Id="rId22" Type="http://schemas.openxmlformats.org/officeDocument/2006/relationships/image" Target="media/770b36cea60a0389b7a6dc088c7efaf96f988882.png"/><Relationship Id="rId23" Type="http://schemas.openxmlformats.org/officeDocument/2006/relationships/image" Target="media/91b19b8108d153e8ae4cd53b9dcb0122fdef9a92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2026-06-10T17:52:46.930Z</dcterms:created>
  <dcterms:modified xsi:type="dcterms:W3CDTF">2026-06-10T17:52:46.930Z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