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Arial" w:hAnsi="Arial"/>
          <w:b/>
          <w:color w:val="0B0B0D"/>
          <w:sz w:val="72"/>
        </w:rPr>
        <w:t>JING IA</w:t>
      </w:r>
    </w:p>
    <w:p>
      <w:pPr>
        <w:jc w:val="center"/>
      </w:pPr>
      <w:r>
        <w:rPr>
          <w:rFonts w:ascii="Arial" w:hAnsi="Arial"/>
          <w:b/>
          <w:color w:val="1E1F24"/>
          <w:sz w:val="36"/>
        </w:rPr>
        <w:t>Manifesto da Marca &amp; Brandbook Estratégico</w:t>
      </w:r>
    </w:p>
    <w:p>
      <w:pPr>
        <w:jc w:val="center"/>
      </w:pPr>
      <w:r>
        <w:rPr>
          <w:rFonts w:ascii="Arial" w:hAnsi="Arial"/>
          <w:color w:val="4B4F58"/>
          <w:sz w:val="26"/>
        </w:rPr>
        <w:t>Medicina Chinesa da filosofia à fisiologia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0B0B0D"/>
          <w:left w:val="single" w:sz="6" w:color="0B0B0D"/>
          <w:bottom w:val="single" w:sz="6" w:color="0B0B0D"/>
          <w:right w:val="single" w:sz="6" w:color="0B0B0D"/>
          <w:insideH w:val="single" w:sz="6" w:color="0B0B0D"/>
          <w:insideV w:val="single" w:sz="6" w:color="0B0B0D"/>
        </w:tblBorders>
      </w:tblPr>
      <w:tblGrid>
        <w:gridCol w:w="10200"/>
      </w:tblGrid>
      <w:tr>
        <w:tc>
          <w:tcPr>
            <w:tcW w:type="dxa" w:w="10200"/>
            <w:shd w:fill="0B0B0D"/>
            <w:tcMar>
              <w:top w:w="320" w:type="dxa"/>
              <w:start w:w="320" w:type="dxa"/>
              <w:bottom w:w="320" w:type="dxa"/>
              <w:end w:w="3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Menos achismo. Mais raciocínio clínico.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color w:val="B8BCC6"/>
                <w:sz w:val="20"/>
              </w:rPr>
              <w:t>Tradição • Fisiologia • Inteligência</w:t>
            </w:r>
          </w:p>
        </w:tc>
      </w:tr>
    </w:tbl>
    <w:p>
      <w:pPr>
        <w:spacing w:before="800"/>
        <w:jc w:val="center"/>
      </w:pPr>
      <w:r>
        <w:rPr>
          <w:rFonts w:ascii="Arial" w:hAnsi="Arial"/>
          <w:color w:val="4B4F58"/>
          <w:sz w:val="20"/>
        </w:rPr>
        <w:t>Documento aprimorado a partir do manifesto original da marca, incorporando posicionamento, narrativa, promessa clínica, tom de voz e diretrizes visuais.</w:t>
      </w:r>
    </w:p>
    <w:p>
      <w:r>
        <w:br w:type="page"/>
      </w:r>
    </w:p>
    <w:p>
      <w:pPr>
        <w:spacing w:before="240" w:after="40"/>
      </w:pPr>
      <w:r>
        <w:rPr>
          <w:rFonts w:ascii="Arial" w:hAnsi="Arial"/>
          <w:b/>
          <w:color w:val="0B0B0D"/>
          <w:sz w:val="36"/>
        </w:rPr>
        <w:t>1. Leitura estratégica do manifesto original</w:t>
      </w:r>
    </w:p>
    <w:p>
      <w:pPr>
        <w:spacing w:before="60" w:after="200"/>
        <w:pBdr>
          <w:bottom w:val="single" w:sz="8" w:color="B8BCC6"/>
        </w:pBdr>
      </w:pPr>
    </w:p>
    <w:p>
      <w:pPr>
        <w:spacing w:line="271" w:lineRule="auto" w:after="120"/>
      </w:pPr>
      <w:r>
        <w:rPr>
          <w:rFonts w:ascii="Arial" w:hAnsi="Arial"/>
          <w:color w:val="0B0B0D"/>
          <w:sz w:val="21"/>
        </w:rPr>
        <w:t>O manifesto original já apresenta uma base sólida: une a profundidade da Medicina Tradicional Chinesa à precisão da inteligência artificial, preservando termos como essência, integração, segurança, raciocínio clínico, fisiologia e inovação.</w:t>
      </w:r>
    </w:p>
    <w:p>
      <w:pPr>
        <w:spacing w:line="271" w:lineRule="auto" w:after="120"/>
      </w:pPr>
      <w:r>
        <w:rPr>
          <w:rFonts w:ascii="Arial" w:hAnsi="Arial"/>
          <w:color w:val="0B0B0D"/>
          <w:sz w:val="21"/>
        </w:rPr>
        <w:t>O principal avanço necessário é transformar o texto de um brandbook institucional para um manifesto com tese própria, dor clara do público, inimigo simbólico e diferenciação comercial.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3" w:color="E5E7EB"/>
          <w:left w:val="single" w:sz="3" w:color="E5E7EB"/>
          <w:bottom w:val="single" w:sz="3" w:color="E5E7EB"/>
          <w:right w:val="single" w:sz="3" w:color="E5E7EB"/>
          <w:insideH w:val="single" w:sz="3" w:color="E5E7EB"/>
          <w:insideV w:val="single" w:sz="3" w:color="E5E7EB"/>
        </w:tblBorders>
      </w:tblPr>
      <w:tblGrid>
        <w:gridCol w:w="10200"/>
      </w:tblGrid>
      <w:tr>
        <w:tc>
          <w:tcPr>
            <w:tcW w:type="dxa" w:w="10200"/>
            <w:shd w:fill="F4F5F7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1E1F24"/>
                <w:sz w:val="18"/>
              </w:rPr>
              <w:t>Diagnóstico central</w:t>
            </w:r>
          </w:p>
          <w:p>
            <w:pPr>
              <w:spacing w:line="269" w:lineRule="auto" w:after="0"/>
            </w:pPr>
            <w:r>
              <w:rPr>
                <w:rFonts w:ascii="Arial" w:hAnsi="Arial"/>
                <w:b/>
                <w:color w:val="0B0B0D"/>
                <w:sz w:val="22"/>
              </w:rPr>
              <w:t>A JING IA não deve ser percebida apenas como uma IA de acupuntura, mas como uma plataforma de inteligência clínica aplicada à Medicina Chinesa.</w:t>
            </w:r>
          </w:p>
        </w:tc>
      </w:tr>
    </w:tbl>
    <w:p>
      <w:pPr>
        <w:spacing w:after="40"/>
      </w:pPr>
    </w:p>
    <w:p>
      <w:pPr>
        <w:spacing w:line="271" w:lineRule="auto" w:after="120"/>
      </w:pPr>
      <w:r>
        <w:rPr>
          <w:rFonts w:ascii="Arial" w:hAnsi="Arial"/>
          <w:color w:val="0B0B0D"/>
          <w:sz w:val="21"/>
        </w:rPr>
        <w:t>A marca ganha força quando explicita que nasceu para enfrentar a insegurança clínica, o diagnóstico no achismo, os protocolos prontos e a dificuldade de integrar MTC, fisiologia, exames, sintomas, língua, pulso e contexto de vida.</w:t>
      </w:r>
    </w:p>
    <w:p>
      <w:pPr>
        <w:spacing w:before="240" w:after="40"/>
      </w:pPr>
      <w:r>
        <w:rPr>
          <w:rFonts w:ascii="Arial" w:hAnsi="Arial"/>
          <w:b/>
          <w:color w:val="0B0B0D"/>
          <w:sz w:val="36"/>
        </w:rPr>
        <w:t>2. Posicionamento estratégico</w:t>
      </w:r>
    </w:p>
    <w:p>
      <w:pPr>
        <w:spacing w:before="60" w:after="200"/>
        <w:pBdr>
          <w:bottom w:val="single" w:sz="8" w:color="B8BCC6"/>
        </w:pBdr>
      </w:pPr>
    </w:p>
    <w:p>
      <w:pPr>
        <w:spacing w:before="120" w:after="40"/>
      </w:pPr>
      <w:r>
        <w:rPr>
          <w:rFonts w:ascii="Arial" w:hAnsi="Arial"/>
          <w:b/>
          <w:color w:val="4B4F58"/>
          <w:sz w:val="16"/>
        </w:rPr>
        <w:t>POSICIONAMENTO RECOMENDADO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3" w:color="E5E7EB"/>
          <w:left w:val="single" w:sz="3" w:color="E5E7EB"/>
          <w:bottom w:val="single" w:sz="3" w:color="E5E7EB"/>
          <w:right w:val="single" w:sz="3" w:color="E5E7EB"/>
          <w:insideH w:val="single" w:sz="3" w:color="E5E7EB"/>
          <w:insideV w:val="single" w:sz="3" w:color="E5E7EB"/>
        </w:tblBorders>
      </w:tblPr>
      <w:tblGrid>
        <w:gridCol w:w="10200"/>
      </w:tblGrid>
      <w:tr>
        <w:tc>
          <w:tcPr>
            <w:tcW w:type="dxa" w:w="10200"/>
            <w:shd w:fill="F4F5F7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line="269" w:lineRule="auto" w:after="0"/>
            </w:pPr>
            <w:r>
              <w:rPr>
                <w:rFonts w:ascii="Arial" w:hAnsi="Arial"/>
                <w:b/>
                <w:color w:val="0B0B0D"/>
                <w:sz w:val="22"/>
              </w:rPr>
              <w:t>A JING IA é uma plataforma de inteligência clínica para Medicina Chinesa, criada para ajudar acupunturistas e estudantes a estruturarem o raciocínio clínico integrando tradição, fisiologia e tecnologia.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Arial" w:hAnsi="Arial"/>
          <w:b/>
          <w:color w:val="4B4F58"/>
          <w:sz w:val="16"/>
        </w:rPr>
        <w:t>TESE DA MARCA</w:t>
      </w:r>
    </w:p>
    <w:p>
      <w:pPr>
        <w:spacing w:line="271" w:lineRule="auto" w:after="120"/>
      </w:pPr>
      <w:r>
        <w:rPr>
          <w:rFonts w:ascii="Arial" w:hAnsi="Arial"/>
          <w:color w:val="0B0B0D"/>
          <w:sz w:val="21"/>
        </w:rPr>
        <w:t>A Medicina Chinesa não precisa ser abandonada para dialogar com a ciência. Ela precisa ser compreendida, traduzida e aplicada com método.</w:t>
      </w:r>
    </w:p>
    <w:p>
      <w:pPr>
        <w:spacing w:before="120" w:after="40"/>
      </w:pPr>
      <w:r>
        <w:rPr>
          <w:rFonts w:ascii="Arial" w:hAnsi="Arial"/>
          <w:b/>
          <w:color w:val="4B4F58"/>
          <w:sz w:val="16"/>
        </w:rPr>
        <w:t>INIMIGO SIMBÓLICO DA MARCA</w:t>
      </w:r>
    </w:p>
    <w:p>
      <w:pPr>
        <w:spacing w:line="271" w:lineRule="auto" w:after="120"/>
      </w:pPr>
      <w:r>
        <w:rPr>
          <w:rFonts w:ascii="Arial" w:hAnsi="Arial"/>
          <w:color w:val="0B0B0D"/>
          <w:sz w:val="21"/>
        </w:rPr>
        <w:t>O inimigo da JING IA não é a tradição, a medicina ocidental ou a tecnologia. O inimigo é o achismo clínico: diagnóstico sem método, protocolo pronto para todo paciente, explicação vaga, insegurança na avaliação e uso superficial da IA.</w:t>
      </w:r>
    </w:p>
    <w:p>
      <w:pPr>
        <w:spacing w:before="120" w:after="40"/>
      </w:pPr>
      <w:r>
        <w:rPr>
          <w:rFonts w:ascii="Arial" w:hAnsi="Arial"/>
          <w:b/>
          <w:color w:val="4B4F58"/>
          <w:sz w:val="16"/>
        </w:rPr>
        <w:t>PROMESSA CENTRAL</w:t>
      </w:r>
    </w:p>
    <w:p>
      <w:pPr>
        <w:spacing w:line="271" w:lineRule="auto" w:after="120"/>
      </w:pPr>
      <w:r>
        <w:rPr>
          <w:rFonts w:ascii="Arial" w:hAnsi="Arial"/>
          <w:color w:val="0B0B0D"/>
          <w:sz w:val="21"/>
        </w:rPr>
        <w:t>Ajudar acupunturistas a conduzirem avaliações clínicas com mais clareza, segurança e profundidade, integrando os fundamentos da MTC à fisiologia contemporânea.</w:t>
      </w:r>
    </w:p>
    <w:p>
      <w:pPr>
        <w:spacing w:before="240" w:after="40"/>
      </w:pPr>
      <w:r>
        <w:rPr>
          <w:rFonts w:ascii="Arial" w:hAnsi="Arial"/>
          <w:b/>
          <w:color w:val="0B0B0D"/>
          <w:sz w:val="36"/>
        </w:rPr>
        <w:t>3. Manifesto da Marca - versão aprimorada</w:t>
      </w:r>
    </w:p>
    <w:p>
      <w:pPr>
        <w:spacing w:before="60" w:after="200"/>
        <w:pBdr>
          <w:bottom w:val="single" w:sz="8" w:color="B8BCC6"/>
        </w:pBdr>
      </w:pPr>
    </w:p>
    <w:p>
      <w:pPr>
        <w:spacing w:line="271" w:lineRule="auto" w:after="120"/>
      </w:pPr>
      <w:r>
        <w:rPr>
          <w:rFonts w:ascii="Arial" w:hAnsi="Arial"/>
          <w:color w:val="0B0B0D"/>
          <w:sz w:val="21"/>
        </w:rPr>
        <w:t>A JING IA nasceu de uma inquietação.</w:t>
      </w:r>
    </w:p>
    <w:p>
      <w:pPr>
        <w:spacing w:line="271" w:lineRule="auto" w:after="120"/>
      </w:pPr>
      <w:r>
        <w:rPr>
          <w:rFonts w:ascii="Arial" w:hAnsi="Arial"/>
          <w:color w:val="0B0B0D"/>
          <w:sz w:val="21"/>
        </w:rPr>
        <w:t>A inquietação de quem ama a Medicina Chinesa, reconhece sua profundidade, mas também percebe que muitos profissionais ainda são formados para repetir conceitos sem aprender, de fato, a raciocinar clinicamente.</w:t>
      </w:r>
    </w:p>
    <w:p>
      <w:pPr>
        <w:spacing w:line="271" w:lineRule="auto" w:after="120"/>
      </w:pPr>
      <w:r>
        <w:rPr>
          <w:rFonts w:ascii="Arial" w:hAnsi="Arial"/>
          <w:color w:val="0B0B0D"/>
          <w:sz w:val="21"/>
        </w:rPr>
        <w:t>Durante muito tempo, a MTC foi ensinada como uma tradição poderosa, mas muitas vezes envolta em explicações vagas, diagnósticos inseguros e condutas baseadas mais na intuição do que em método.</w:t>
      </w:r>
    </w:p>
    <w:p>
      <w:pPr>
        <w:spacing w:line="271" w:lineRule="auto" w:after="120"/>
      </w:pPr>
      <w:r>
        <w:rPr>
          <w:rFonts w:ascii="Arial" w:hAnsi="Arial"/>
          <w:color w:val="0B0B0D"/>
          <w:sz w:val="21"/>
        </w:rPr>
        <w:t>Nós respeitamos profundamente a tradição. Mas acreditamos que respeito não é repetição cega.</w:t>
      </w:r>
    </w:p>
    <w:p>
      <w:pPr>
        <w:spacing w:line="271" w:lineRule="auto" w:after="120"/>
      </w:pPr>
      <w:r>
        <w:rPr>
          <w:rFonts w:ascii="Arial" w:hAnsi="Arial"/>
          <w:color w:val="0B0B0D"/>
          <w:sz w:val="21"/>
        </w:rPr>
        <w:t>Respeitar a Medicina Chinesa é compreendê-la em profundidade. É estudar seus fundamentos. É reconhecer seus padrões. É observar o paciente com sensibilidade. É interpretar sinais e sintomas com responsabilidade. É integrar a sabedoria clássica com o conhecimento fisiológico contemporâneo.</w:t>
      </w:r>
    </w:p>
    <w:p>
      <w:pPr>
        <w:spacing w:line="271" w:lineRule="auto" w:after="120"/>
      </w:pPr>
      <w:r>
        <w:rPr>
          <w:rFonts w:ascii="Arial" w:hAnsi="Arial"/>
          <w:color w:val="0B0B0D"/>
          <w:sz w:val="21"/>
        </w:rPr>
        <w:t>A JING IA nasce exatamente dessa ponte: da filosofia à fisiologia, da tradição ao método, da informação ao discernimento e do achismo ao raciocínio clínico.</w:t>
      </w:r>
    </w:p>
    <w:p>
      <w:pPr>
        <w:spacing w:line="271" w:lineRule="auto" w:after="120"/>
      </w:pPr>
      <w:r>
        <w:rPr>
          <w:rFonts w:ascii="Arial" w:hAnsi="Arial"/>
          <w:color w:val="0B0B0D"/>
          <w:sz w:val="21"/>
        </w:rPr>
        <w:t>Acreditamos que a Medicina Chinesa não precisa competir com a ciência, com a tecnologia ou com a medicina ocidental. Ela precisa dialogar.</w:t>
      </w:r>
    </w:p>
    <w:p>
      <w:pPr>
        <w:spacing w:line="271" w:lineRule="auto" w:after="120"/>
      </w:pPr>
      <w:r>
        <w:rPr>
          <w:rFonts w:ascii="Arial" w:hAnsi="Arial"/>
          <w:color w:val="0B0B0D"/>
          <w:sz w:val="21"/>
        </w:rPr>
        <w:t>Ela precisa ser explicada com mais clareza, aplicada com mais segurança, estudada com mais profundidade, ensinada com mais estrutura e praticada com mais consciência clínica.</w:t>
      </w:r>
    </w:p>
    <w:p>
      <w:pPr>
        <w:spacing w:line="271" w:lineRule="auto" w:after="120"/>
      </w:pPr>
      <w:r>
        <w:rPr>
          <w:rFonts w:ascii="Arial" w:hAnsi="Arial"/>
          <w:color w:val="0B0B0D"/>
          <w:sz w:val="21"/>
        </w:rPr>
        <w:t>A JING IA não foi criada para substituir o acupunturista. Foi criada para fortalecer sua capacidade de pensar.</w:t>
      </w:r>
    </w:p>
    <w:p>
      <w:pPr>
        <w:spacing w:line="271" w:lineRule="auto" w:after="120"/>
      </w:pPr>
      <w:r>
        <w:rPr>
          <w:rFonts w:ascii="Arial" w:hAnsi="Arial"/>
          <w:color w:val="0B0B0D"/>
          <w:sz w:val="21"/>
        </w:rPr>
        <w:t>Ela não entrega fórmulas prontas para todos os pacientes. Ela não reduz a MTC a protocolos automáticos. Ela não promete curas mágicas. Ela não transforma a clínica em uma resposta mecânica.</w:t>
      </w:r>
    </w:p>
    <w:p>
      <w:pPr>
        <w:spacing w:line="271" w:lineRule="auto" w:after="120"/>
      </w:pPr>
      <w:r>
        <w:rPr>
          <w:rFonts w:ascii="Arial" w:hAnsi="Arial"/>
          <w:color w:val="0B0B0D"/>
          <w:sz w:val="21"/>
        </w:rPr>
        <w:t>A JING IA organiza informações, amplia possibilidades de análise e ajuda o profissional a enxergar relações que muitas vezes ficam dispersas no atendimento: sono, dor, emoções, digestão, ciclo menstrual, exames laboratoriais, língua, pulso, padrões de desarmonia, fisiologia e contexto de vida.</w:t>
      </w:r>
    </w:p>
    <w:p>
      <w:pPr>
        <w:spacing w:line="271" w:lineRule="auto" w:after="120"/>
      </w:pPr>
      <w:r>
        <w:rPr>
          <w:rFonts w:ascii="Arial" w:hAnsi="Arial"/>
          <w:color w:val="0B0B0D"/>
          <w:sz w:val="21"/>
        </w:rPr>
        <w:t>Porque um paciente não é apenas um sintoma. Uma insônia não é apenas uma insônia. Uma dor não é apenas uma dor. Uma alteração menstrual não é apenas uma queixa isolada. Uma ansiedade não é apenas um estado emocional.</w:t>
      </w:r>
    </w:p>
    <w:p>
      <w:pPr>
        <w:spacing w:line="271" w:lineRule="auto" w:after="120"/>
      </w:pPr>
      <w:r>
        <w:rPr>
          <w:rFonts w:ascii="Arial" w:hAnsi="Arial"/>
          <w:color w:val="0B0B0D"/>
          <w:sz w:val="21"/>
        </w:rPr>
        <w:t>Cada sinal faz parte de uma história clínica maior. E a boa prática da MTC exige justamente essa capacidade: reconhecer padrões, integrar informações e construir uma conduta coerente.</w:t>
      </w:r>
    </w:p>
    <w:p>
      <w:pPr>
        <w:spacing w:line="271" w:lineRule="auto" w:after="120"/>
      </w:pPr>
      <w:r>
        <w:rPr>
          <w:rFonts w:ascii="Arial" w:hAnsi="Arial"/>
          <w:color w:val="0B0B0D"/>
          <w:sz w:val="21"/>
        </w:rPr>
        <w:t>A JING IA existe para apoiar esse processo.</w:t>
      </w:r>
    </w:p>
    <w:p>
      <w:pPr>
        <w:spacing w:line="271" w:lineRule="auto" w:after="120"/>
      </w:pPr>
      <w:r>
        <w:rPr>
          <w:rFonts w:ascii="Arial" w:hAnsi="Arial"/>
          <w:color w:val="0B0B0D"/>
          <w:sz w:val="21"/>
        </w:rPr>
        <w:t>Com inteligência artificial aplicada, linguagem clínica, visão integrativa e respeito à tradição, a plataforma ajuda acupunturistas e estudantes a desenvolverem mais clareza, mais confiança e mais profundidade no raciocínio clínico.</w:t>
      </w:r>
    </w:p>
    <w:p>
      <w:pPr>
        <w:spacing w:line="271" w:lineRule="auto" w:after="120"/>
      </w:pPr>
      <w:r>
        <w:rPr>
          <w:rFonts w:ascii="Arial" w:hAnsi="Arial"/>
          <w:color w:val="0B0B0D"/>
          <w:sz w:val="21"/>
        </w:rPr>
        <w:t>Nossa missão é elevar o nível da prática em Medicina Chinesa.</w:t>
      </w:r>
    </w:p>
    <w:p>
      <w:pPr>
        <w:spacing w:line="271" w:lineRule="auto" w:after="120"/>
      </w:pPr>
      <w:r>
        <w:rPr>
          <w:rFonts w:ascii="Arial" w:hAnsi="Arial"/>
          <w:color w:val="0B0B0D"/>
          <w:sz w:val="21"/>
        </w:rPr>
        <w:t>Queremos formar profissionais que não dependam apenas de listas de pontos, que não se escondam atrás de explicações vagas, que não tratem todos os pacientes da mesma forma e que sejam capazes de justificar suas escolhas com coerência, responsabilidade e método.</w:t>
      </w:r>
    </w:p>
    <w:p>
      <w:pPr>
        <w:spacing w:line="271" w:lineRule="auto" w:after="120"/>
      </w:pPr>
      <w:r>
        <w:rPr>
          <w:rFonts w:ascii="Arial" w:hAnsi="Arial"/>
          <w:color w:val="0B0B0D"/>
          <w:sz w:val="21"/>
        </w:rPr>
        <w:t>A JING IA é para quem quer estudar MTC com seriedade. Para quem deseja atender melhor. Para quem quer integrar tradição e fisiologia. Para quem quer dialogar com pacientes, médicos e outros profissionais de saúde com mais segurança.</w:t>
      </w:r>
    </w:p>
    <w:p>
      <w:pPr>
        <w:spacing w:line="271" w:lineRule="auto" w:after="120"/>
      </w:pPr>
      <w:r>
        <w:rPr>
          <w:rFonts w:ascii="Arial" w:hAnsi="Arial"/>
          <w:color w:val="0B0B0D"/>
          <w:sz w:val="21"/>
        </w:rPr>
        <w:t>Inovar, para nós, não é abandonar a raiz. É aprofundá-la.</w:t>
      </w:r>
    </w:p>
    <w:p>
      <w:pPr>
        <w:spacing w:line="271" w:lineRule="auto" w:after="120"/>
      </w:pPr>
      <w:r>
        <w:rPr>
          <w:rFonts w:ascii="Arial" w:hAnsi="Arial"/>
          <w:color w:val="0B0B0D"/>
          <w:sz w:val="21"/>
        </w:rPr>
        <w:t>A JING IA representa uma nova forma de estudar, pensar e praticar Medicina Chinesa: mais clara, mais clínica, mais integrada, mais segura e mais inteligente.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3" w:color="E5E7EB"/>
          <w:left w:val="single" w:sz="3" w:color="E5E7EB"/>
          <w:bottom w:val="single" w:sz="3" w:color="E5E7EB"/>
          <w:right w:val="single" w:sz="3" w:color="E5E7EB"/>
          <w:insideH w:val="single" w:sz="3" w:color="E5E7EB"/>
          <w:insideV w:val="single" w:sz="3" w:color="E5E7EB"/>
        </w:tblBorders>
      </w:tblPr>
      <w:tblGrid>
        <w:gridCol w:w="10200"/>
      </w:tblGrid>
      <w:tr>
        <w:tc>
          <w:tcPr>
            <w:tcW w:type="dxa" w:w="10200"/>
            <w:shd w:fill="F4F5F7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line="269" w:lineRule="auto" w:after="0"/>
            </w:pPr>
            <w:r>
              <w:rPr>
                <w:rFonts w:ascii="Arial" w:hAnsi="Arial"/>
                <w:b/>
                <w:color w:val="0B0B0D"/>
                <w:sz w:val="22"/>
              </w:rPr>
              <w:t>JING IA - Medicina Chinesa da filosofia à fisiologia.</w:t>
              <w:br/>
              <w:t>Menos achismo. Mais raciocínio clínico.</w:t>
            </w:r>
          </w:p>
        </w:tc>
      </w:tr>
    </w:tbl>
    <w:p>
      <w:pPr>
        <w:spacing w:after="40"/>
      </w:pPr>
    </w:p>
    <w:p>
      <w:pPr>
        <w:spacing w:before="240" w:after="40"/>
      </w:pPr>
      <w:r>
        <w:rPr>
          <w:rFonts w:ascii="Arial" w:hAnsi="Arial"/>
          <w:b/>
          <w:color w:val="0B0B0D"/>
          <w:sz w:val="36"/>
        </w:rPr>
        <w:t>4. Versões curtas para uso comercial</w:t>
      </w:r>
    </w:p>
    <w:p>
      <w:pPr>
        <w:spacing w:before="60" w:after="200"/>
        <w:pBdr>
          <w:bottom w:val="single" w:sz="8" w:color="B8BCC6"/>
        </w:pBdr>
      </w:pPr>
    </w:p>
    <w:p>
      <w:pPr>
        <w:spacing w:before="120" w:after="40"/>
      </w:pPr>
      <w:r>
        <w:rPr>
          <w:rFonts w:ascii="Arial" w:hAnsi="Arial"/>
          <w:b/>
          <w:color w:val="4B4F58"/>
          <w:sz w:val="16"/>
        </w:rPr>
        <w:t>VERSÃO PARA SITE</w:t>
      </w:r>
    </w:p>
    <w:p>
      <w:pPr>
        <w:spacing w:line="271" w:lineRule="auto" w:after="120"/>
      </w:pPr>
      <w:r>
        <w:rPr>
          <w:rFonts w:ascii="Arial" w:hAnsi="Arial"/>
          <w:color w:val="0B0B0D"/>
          <w:sz w:val="21"/>
        </w:rPr>
        <w:t>A JING IA é uma plataforma de inteligência clínica aplicada à Medicina Chinesa. Ela une tradição, fisiologia e inteligência artificial para ajudar acupunturistas e estudantes a estruturarem melhor sua avaliação, compreenderem padrões clínicos com mais profundidade e conduzirem atendimentos com mais clareza, segurança e responsabilidade.</w:t>
      </w:r>
    </w:p>
    <w:p>
      <w:pPr>
        <w:spacing w:before="120" w:after="40"/>
      </w:pPr>
      <w:r>
        <w:rPr>
          <w:rFonts w:ascii="Arial" w:hAnsi="Arial"/>
          <w:b/>
          <w:color w:val="4B4F58"/>
          <w:sz w:val="16"/>
        </w:rPr>
        <w:t>VERSÃO PARA PÁGINA DE VENDAS</w:t>
      </w:r>
    </w:p>
    <w:p>
      <w:pPr>
        <w:spacing w:line="271" w:lineRule="auto" w:after="120"/>
      </w:pPr>
      <w:r>
        <w:rPr>
          <w:rFonts w:ascii="Arial" w:hAnsi="Arial"/>
          <w:color w:val="0B0B0D"/>
          <w:sz w:val="21"/>
        </w:rPr>
        <w:t>A JING IA ajuda acupunturistas a saírem do achismo e desenvolverem um raciocínio clínico mais claro, seguro e integrado. Com inteligência artificial aplicada à Medicina Chinesa, a plataforma conecta tradição, fisiologia e análise clínica para apoiar avaliações mais profundas, condutas mais coerentes e atendimentos mais individualizados.</w:t>
      </w:r>
    </w:p>
    <w:p>
      <w:pPr>
        <w:spacing w:before="120" w:after="40"/>
      </w:pPr>
      <w:r>
        <w:rPr>
          <w:rFonts w:ascii="Arial" w:hAnsi="Arial"/>
          <w:b/>
          <w:color w:val="4B4F58"/>
          <w:sz w:val="16"/>
        </w:rPr>
        <w:t>VERSÃO ULTRACURTA</w:t>
      </w:r>
    </w:p>
    <w:p>
      <w:pPr>
        <w:spacing w:line="271" w:lineRule="auto" w:after="120"/>
      </w:pPr>
      <w:r>
        <w:rPr>
          <w:rFonts w:ascii="Arial" w:hAnsi="Arial"/>
          <w:color w:val="0B0B0D"/>
          <w:sz w:val="21"/>
        </w:rPr>
        <w:t>JING IA é inteligência clínica para uma Medicina Chinesa mais clara, segura e fisiológica.</w:t>
      </w:r>
    </w:p>
    <w:p>
      <w:pPr>
        <w:spacing w:before="120" w:after="40"/>
      </w:pPr>
      <w:r>
        <w:rPr>
          <w:rFonts w:ascii="Arial" w:hAnsi="Arial"/>
          <w:b/>
          <w:color w:val="4B4F58"/>
          <w:sz w:val="16"/>
        </w:rPr>
        <w:t>FRASE DE DIFERENCIAÇÃO</w:t>
      </w:r>
    </w:p>
    <w:p>
      <w:pPr>
        <w:spacing w:line="271" w:lineRule="auto" w:after="120"/>
      </w:pPr>
      <w:r>
        <w:rPr>
          <w:rFonts w:ascii="Arial" w:hAnsi="Arial"/>
          <w:color w:val="0B0B0D"/>
          <w:sz w:val="21"/>
        </w:rPr>
        <w:t>Não é uma IA que entrega protocolos prontos. É uma inteligência clínica que ajuda o profissional a pensar melhor.</w:t>
      </w:r>
    </w:p>
    <w:p>
      <w:pPr>
        <w:spacing w:before="240" w:after="40"/>
      </w:pPr>
      <w:r>
        <w:rPr>
          <w:rFonts w:ascii="Arial" w:hAnsi="Arial"/>
          <w:b/>
          <w:color w:val="0B0B0D"/>
          <w:sz w:val="36"/>
        </w:rPr>
        <w:t>5. Missão, visão e valores</w:t>
      </w:r>
    </w:p>
    <w:p>
      <w:pPr>
        <w:spacing w:before="60" w:after="200"/>
        <w:pBdr>
          <w:bottom w:val="single" w:sz="8" w:color="B8BCC6"/>
        </w:pBdr>
      </w:pPr>
    </w:p>
    <w:p>
      <w:pPr>
        <w:spacing w:before="120" w:after="40"/>
      </w:pPr>
      <w:r>
        <w:rPr>
          <w:rFonts w:ascii="Arial" w:hAnsi="Arial"/>
          <w:b/>
          <w:color w:val="4B4F58"/>
          <w:sz w:val="16"/>
        </w:rPr>
        <w:t>MISSÃO</w:t>
      </w:r>
    </w:p>
    <w:p>
      <w:pPr>
        <w:spacing w:line="271" w:lineRule="auto" w:after="120"/>
      </w:pPr>
      <w:r>
        <w:rPr>
          <w:rFonts w:ascii="Arial" w:hAnsi="Arial"/>
          <w:color w:val="0B0B0D"/>
          <w:sz w:val="21"/>
        </w:rPr>
        <w:t>Apoiar acupunturistas e estudantes de Medicina Chinesa no desenvolvimento de um raciocínio clínico mais claro, seguro e integrado, unindo tradição, fisiologia e inteligência artificial para transformar conhecimento em análise, análise em discernimento e discernimento em prática clínica responsável.</w:t>
      </w:r>
    </w:p>
    <w:p>
      <w:pPr>
        <w:spacing w:before="120" w:after="40"/>
      </w:pPr>
      <w:r>
        <w:rPr>
          <w:rFonts w:ascii="Arial" w:hAnsi="Arial"/>
          <w:b/>
          <w:color w:val="4B4F58"/>
          <w:sz w:val="16"/>
        </w:rPr>
        <w:t>VISÃO</w:t>
      </w:r>
    </w:p>
    <w:p>
      <w:pPr>
        <w:spacing w:line="271" w:lineRule="auto" w:after="120"/>
      </w:pPr>
      <w:r>
        <w:rPr>
          <w:rFonts w:ascii="Arial" w:hAnsi="Arial"/>
          <w:color w:val="0B0B0D"/>
          <w:sz w:val="21"/>
        </w:rPr>
        <w:t>Ser a principal plataforma de inteligência clínica aplicada à Medicina Chinesa, tornando-se referência para profissionais que desejam praticar uma MTC mais estruturada, fisiológica, segura e conectada ao presente, sem perder sua essência tradicional.</w:t>
      </w:r>
    </w:p>
    <w:p>
      <w:pPr>
        <w:spacing w:before="120" w:after="40"/>
      </w:pPr>
      <w:r>
        <w:rPr>
          <w:rFonts w:ascii="Arial" w:hAnsi="Arial"/>
          <w:b/>
          <w:color w:val="4B4F58"/>
          <w:sz w:val="16"/>
        </w:rPr>
        <w:t>VALORES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DE3"/>
          <w:left w:val="single" w:sz="4" w:color="D9DDE3"/>
          <w:bottom w:val="single" w:sz="4" w:color="D9DDE3"/>
          <w:right w:val="single" w:sz="4" w:color="D9DDE3"/>
          <w:insideH w:val="single" w:sz="4" w:color="D9DDE3"/>
          <w:insideV w:val="single" w:sz="4" w:color="D9DDE3"/>
        </w:tblBorders>
      </w:tblPr>
      <w:tblGrid>
        <w:gridCol w:w="5100"/>
        <w:gridCol w:w="5100"/>
      </w:tblGrid>
      <w:tr>
        <w:tc>
          <w:tcPr>
            <w:tcW w:type="dxa" w:w="5100"/>
            <w:vAlign w:val="center"/>
            <w:shd w:fill="1E1F2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Valor</w:t>
            </w:r>
          </w:p>
        </w:tc>
        <w:tc>
          <w:tcPr>
            <w:tcW w:type="dxa" w:w="5100"/>
            <w:vAlign w:val="center"/>
            <w:shd w:fill="1E1F2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Como aparece na prática</w:t>
            </w:r>
          </w:p>
        </w:tc>
      </w:tr>
      <w:tr>
        <w:tc>
          <w:tcPr>
            <w:tcW w:type="dxa" w:w="5100"/>
            <w:vAlign w:val="center"/>
            <w:shd w:fill="F4F5F7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B0B0D"/>
                <w:sz w:val="19"/>
              </w:rPr>
              <w:t>Essência</w:t>
            </w:r>
          </w:p>
        </w:tc>
        <w:tc>
          <w:tcPr>
            <w:tcW w:type="dxa" w:w="51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8"/>
              </w:rPr>
              <w:t>Respeitamos a base filosófica e clínica da Medicina Chinesa, sem reduzir sua profundidade a modismos, simplificações ou protocolos vazios.</w:t>
            </w:r>
          </w:p>
        </w:tc>
      </w:tr>
      <w:tr>
        <w:tc>
          <w:tcPr>
            <w:tcW w:type="dxa" w:w="5100"/>
            <w:vAlign w:val="center"/>
            <w:shd w:fill="F4F5F7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B0B0D"/>
                <w:sz w:val="19"/>
              </w:rPr>
              <w:t>Raciocínio clínico</w:t>
            </w:r>
          </w:p>
        </w:tc>
        <w:tc>
          <w:tcPr>
            <w:tcW w:type="dxa" w:w="51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8"/>
              </w:rPr>
              <w:t>Acreditamos que o bom atendimento começa pela capacidade de pensar com clareza, organizar informações e reconhecer padrões.</w:t>
            </w:r>
          </w:p>
        </w:tc>
      </w:tr>
      <w:tr>
        <w:tc>
          <w:tcPr>
            <w:tcW w:type="dxa" w:w="5100"/>
            <w:vAlign w:val="center"/>
            <w:shd w:fill="F4F5F7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B0B0D"/>
                <w:sz w:val="19"/>
              </w:rPr>
              <w:t>Integração</w:t>
            </w:r>
          </w:p>
        </w:tc>
        <w:tc>
          <w:tcPr>
            <w:tcW w:type="dxa" w:w="51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8"/>
              </w:rPr>
              <w:t>Unimos tradição, fisiologia, ciência, experiência clínica e tecnologia para ampliar a compreensão do paciente.</w:t>
            </w:r>
          </w:p>
        </w:tc>
      </w:tr>
      <w:tr>
        <w:tc>
          <w:tcPr>
            <w:tcW w:type="dxa" w:w="5100"/>
            <w:vAlign w:val="center"/>
            <w:shd w:fill="F4F5F7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B0B0D"/>
                <w:sz w:val="19"/>
              </w:rPr>
              <w:t>Segurança</w:t>
            </w:r>
          </w:p>
        </w:tc>
        <w:tc>
          <w:tcPr>
            <w:tcW w:type="dxa" w:w="51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8"/>
              </w:rPr>
              <w:t>Apoiamos decisões mais conscientes, responsáveis e coerentes com a individualidade de cada caso.</w:t>
            </w:r>
          </w:p>
        </w:tc>
      </w:tr>
      <w:tr>
        <w:tc>
          <w:tcPr>
            <w:tcW w:type="dxa" w:w="5100"/>
            <w:vAlign w:val="center"/>
            <w:shd w:fill="F4F5F7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B0B0D"/>
                <w:sz w:val="19"/>
              </w:rPr>
              <w:t>Profundidade</w:t>
            </w:r>
          </w:p>
        </w:tc>
        <w:tc>
          <w:tcPr>
            <w:tcW w:type="dxa" w:w="51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8"/>
              </w:rPr>
              <w:t>Valorizamos análise, estudo, observação e interpretação clínica. Não buscamos respostas superficiais.</w:t>
            </w:r>
          </w:p>
        </w:tc>
      </w:tr>
      <w:tr>
        <w:tc>
          <w:tcPr>
            <w:tcW w:type="dxa" w:w="5100"/>
            <w:vAlign w:val="center"/>
            <w:shd w:fill="F4F5F7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B0B0D"/>
                <w:sz w:val="19"/>
              </w:rPr>
              <w:t>Inovação com raiz</w:t>
            </w:r>
          </w:p>
        </w:tc>
        <w:tc>
          <w:tcPr>
            <w:tcW w:type="dxa" w:w="51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8"/>
              </w:rPr>
              <w:t>Usamos tecnologia para fortalecer a tradição, não para descaracterizá-la.</w:t>
            </w:r>
          </w:p>
        </w:tc>
      </w:tr>
      <w:tr>
        <w:tc>
          <w:tcPr>
            <w:tcW w:type="dxa" w:w="5100"/>
            <w:vAlign w:val="center"/>
            <w:shd w:fill="F4F5F7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B0B0D"/>
                <w:sz w:val="19"/>
              </w:rPr>
              <w:t>Confiabilidade</w:t>
            </w:r>
          </w:p>
        </w:tc>
        <w:tc>
          <w:tcPr>
            <w:tcW w:type="dxa" w:w="51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8"/>
              </w:rPr>
              <w:t>Comunicamos com responsabilidade, evitando promessas absolutas, curas garantidas ou discursos sem base clínica.</w:t>
            </w:r>
          </w:p>
        </w:tc>
      </w:tr>
    </w:tbl>
    <w:p>
      <w:pPr>
        <w:spacing w:before="240" w:after="40"/>
      </w:pPr>
      <w:r>
        <w:rPr>
          <w:rFonts w:ascii="Arial" w:hAnsi="Arial"/>
          <w:b/>
          <w:color w:val="0B0B0D"/>
          <w:sz w:val="36"/>
        </w:rPr>
        <w:t>6. Tom de voz</w:t>
      </w:r>
    </w:p>
    <w:p>
      <w:pPr>
        <w:spacing w:before="60" w:after="200"/>
        <w:pBdr>
          <w:bottom w:val="single" w:sz="8" w:color="B8BCC6"/>
        </w:pBdr>
      </w:pPr>
    </w:p>
    <w:p>
      <w:pPr>
        <w:spacing w:line="271" w:lineRule="auto" w:after="120"/>
      </w:pPr>
      <w:r>
        <w:rPr>
          <w:rFonts w:ascii="Arial" w:hAnsi="Arial"/>
          <w:color w:val="0B0B0D"/>
          <w:sz w:val="21"/>
        </w:rPr>
        <w:t>A JING IA deve falar como uma marca que tem autoridade clínica, profundidade acadêmica e clareza didática.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3" w:color="E5E7EB"/>
          <w:left w:val="single" w:sz="3" w:color="E5E7EB"/>
          <w:bottom w:val="single" w:sz="3" w:color="E5E7EB"/>
          <w:right w:val="single" w:sz="3" w:color="E5E7EB"/>
          <w:insideH w:val="single" w:sz="3" w:color="E5E7EB"/>
          <w:insideV w:val="single" w:sz="3" w:color="E5E7EB"/>
        </w:tblBorders>
      </w:tblPr>
      <w:tblGrid>
        <w:gridCol w:w="10200"/>
      </w:tblGrid>
      <w:tr>
        <w:tc>
          <w:tcPr>
            <w:tcW w:type="dxa" w:w="10200"/>
            <w:shd w:fill="F4F5F7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line="269" w:lineRule="auto" w:after="0"/>
            </w:pPr>
            <w:r>
              <w:rPr>
                <w:rFonts w:ascii="Arial" w:hAnsi="Arial"/>
                <w:b/>
                <w:color w:val="0B0B0D"/>
                <w:sz w:val="22"/>
              </w:rPr>
              <w:t>Ela não fala como guru. Não fala como robô. Não fala como promessa milagrosa. Não fala como uma IA genérica. Ela fala como uma mentora clínica: firme, elegante, segura e acessível.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Arial" w:hAnsi="Arial"/>
          <w:b/>
          <w:color w:val="4B4F58"/>
          <w:sz w:val="16"/>
        </w:rPr>
        <w:t>A VOZ DA JING IA É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0"/>
        </w:rPr>
        <w:t>Clara, mas não simplista.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0"/>
        </w:rPr>
        <w:t>Técnica, mas não fria.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0"/>
        </w:rPr>
        <w:t>Sofisticada, mas não distante.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0"/>
        </w:rPr>
        <w:t>Didática, mas não infantil.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0"/>
        </w:rPr>
        <w:t>Inspiradora, mas não vazia.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0"/>
        </w:rPr>
        <w:t>Moderna, mas enraizada na tradição.</w:t>
      </w:r>
    </w:p>
    <w:p>
      <w:pPr>
        <w:spacing w:before="240" w:after="40"/>
      </w:pPr>
      <w:r>
        <w:rPr>
          <w:rFonts w:ascii="Arial" w:hAnsi="Arial"/>
          <w:b/>
          <w:color w:val="0B0B0D"/>
          <w:sz w:val="36"/>
        </w:rPr>
        <w:t>7. Vocabulário da marca</w:t>
      </w:r>
    </w:p>
    <w:p>
      <w:pPr>
        <w:spacing w:before="60" w:after="200"/>
        <w:pBdr>
          <w:bottom w:val="single" w:sz="8" w:color="B8BCC6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DE3"/>
          <w:left w:val="single" w:sz="4" w:color="D9DDE3"/>
          <w:bottom w:val="single" w:sz="4" w:color="D9DDE3"/>
          <w:right w:val="single" w:sz="4" w:color="D9DDE3"/>
          <w:insideH w:val="single" w:sz="4" w:color="D9DDE3"/>
          <w:insideV w:val="single" w:sz="4" w:color="D9DDE3"/>
        </w:tblBorders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1E1F2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Usar com frequência</w:t>
            </w:r>
          </w:p>
        </w:tc>
        <w:tc>
          <w:tcPr>
            <w:tcW w:type="dxa" w:w="3400"/>
            <w:vAlign w:val="center"/>
            <w:shd w:fill="1E1F2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Usar com cuidado</w:t>
            </w:r>
          </w:p>
        </w:tc>
        <w:tc>
          <w:tcPr>
            <w:tcW w:type="dxa" w:w="3400"/>
            <w:vAlign w:val="center"/>
            <w:shd w:fill="1E1F2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Evitar</w:t>
            </w:r>
          </w:p>
        </w:tc>
      </w:tr>
      <w:tr>
        <w:tc>
          <w:tcPr>
            <w:tcW w:type="dxa" w:w="34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5F7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8"/>
              </w:rPr>
              <w:t>método</w:t>
              <w:br/>
              <w:t>raciocínio clínico</w:t>
              <w:br/>
              <w:t>discernimento</w:t>
              <w:br/>
              <w:t>conduta</w:t>
              <w:br/>
              <w:t>avaliação clínica</w:t>
              <w:br/>
              <w:t>integração fisiológica</w:t>
              <w:br/>
              <w:t>tomada de decisão</w:t>
              <w:br/>
              <w:t>individualização</w:t>
              <w:br/>
              <w:t>clareza diagnóstica</w:t>
              <w:br/>
              <w:t>prática responsável</w:t>
              <w:br/>
              <w:t>tradição viva</w:t>
              <w:br/>
              <w:t>inteligência clínica</w:t>
              <w:br/>
              <w:t>fisiologia aplicada</w:t>
            </w:r>
          </w:p>
        </w:tc>
        <w:tc>
          <w:tcPr>
            <w:tcW w:type="dxa" w:w="34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8"/>
              </w:rPr>
              <w:t>padrões energéticos</w:t>
              <w:br/>
              <w:t>energia</w:t>
              <w:br/>
              <w:t>meridianos</w:t>
              <w:br/>
              <w:t>equilíbrio</w:t>
              <w:br/>
              <w:t>sabedoria ancestral</w:t>
              <w:br/>
              <w:t>terapêutica energética</w:t>
              <w:br/>
              <w:t>intuição clínica</w:t>
            </w:r>
          </w:p>
        </w:tc>
        <w:tc>
          <w:tcPr>
            <w:tcW w:type="dxa" w:w="34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5F7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8"/>
              </w:rPr>
              <w:t>milagre</w:t>
              <w:br/>
              <w:t>cura garantida</w:t>
              <w:br/>
              <w:t>solução mágica</w:t>
              <w:br/>
              <w:t>promessa absoluta</w:t>
              <w:br/>
              <w:t>protocolo infalível</w:t>
              <w:br/>
              <w:t>100% de resultado</w:t>
              <w:br/>
              <w:t>substitui o terapeuta</w:t>
              <w:br/>
              <w:t>diagnóstico automático</w:t>
              <w:br/>
              <w:t>esotérico sem contexto</w:t>
            </w:r>
          </w:p>
        </w:tc>
      </w:tr>
    </w:tbl>
    <w:p>
      <w:pPr>
        <w:spacing w:line="271" w:lineRule="auto" w:after="120"/>
      </w:pPr>
      <w:r>
        <w:rPr>
          <w:rFonts w:ascii="Arial" w:hAnsi="Arial"/>
          <w:color w:val="0B0B0D"/>
          <w:sz w:val="21"/>
        </w:rPr>
        <w:t>Observação estratégica: a expressão “padrões energéticos” faz sentido dentro da MTC, mas deve ser alternada com “padrões clínicos”, “padrões de desarmonia”, “lógica da MTC” e “leitura energética e fisiológica”, para manter a marca sofisticada e menos vulnerável a críticas.</w:t>
      </w:r>
    </w:p>
    <w:p>
      <w:pPr>
        <w:spacing w:before="240" w:after="40"/>
      </w:pPr>
      <w:r>
        <w:rPr>
          <w:rFonts w:ascii="Arial" w:hAnsi="Arial"/>
          <w:b/>
          <w:color w:val="0B0B0D"/>
          <w:sz w:val="36"/>
        </w:rPr>
        <w:t>8. Assinaturas e slogans</w:t>
      </w:r>
    </w:p>
    <w:p>
      <w:pPr>
        <w:spacing w:before="60" w:after="200"/>
        <w:pBdr>
          <w:bottom w:val="single" w:sz="8" w:color="B8BCC6"/>
        </w:pBdr>
      </w:pPr>
    </w:p>
    <w:p>
      <w:pPr>
        <w:spacing w:line="271" w:lineRule="auto" w:after="120"/>
      </w:pPr>
      <w:r>
        <w:rPr>
          <w:rFonts w:ascii="Arial" w:hAnsi="Arial"/>
          <w:color w:val="0B0B0D"/>
          <w:sz w:val="21"/>
        </w:rPr>
        <w:t>A assinatura atual, “A inteligência que fortalece a essência clínica”, é elegante, mas ainda abstrata. A recomendação é usar uma assinatura que una identidade, promessa e diferenciação.</w:t>
      </w:r>
    </w:p>
    <w:p>
      <w:pPr>
        <w:spacing w:before="120" w:after="40"/>
      </w:pPr>
      <w:r>
        <w:rPr>
          <w:rFonts w:ascii="Arial" w:hAnsi="Arial"/>
          <w:b/>
          <w:color w:val="4B4F58"/>
          <w:sz w:val="16"/>
        </w:rPr>
        <w:t>ASSINATURA PRINCIPAL RECOMENDADA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3" w:color="E5E7EB"/>
          <w:left w:val="single" w:sz="3" w:color="E5E7EB"/>
          <w:bottom w:val="single" w:sz="3" w:color="E5E7EB"/>
          <w:right w:val="single" w:sz="3" w:color="E5E7EB"/>
          <w:insideH w:val="single" w:sz="3" w:color="E5E7EB"/>
          <w:insideV w:val="single" w:sz="3" w:color="E5E7EB"/>
        </w:tblBorders>
      </w:tblPr>
      <w:tblGrid>
        <w:gridCol w:w="10200"/>
      </w:tblGrid>
      <w:tr>
        <w:tc>
          <w:tcPr>
            <w:tcW w:type="dxa" w:w="10200"/>
            <w:shd w:fill="F4F5F7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line="269" w:lineRule="auto" w:after="0"/>
            </w:pPr>
            <w:r>
              <w:rPr>
                <w:rFonts w:ascii="Arial" w:hAnsi="Arial"/>
                <w:b/>
                <w:color w:val="0B0B0D"/>
                <w:sz w:val="22"/>
              </w:rPr>
              <w:t>JING IA</w:t>
              <w:br/>
              <w:t>Medicina Chinesa da filosofia à fisiologia.</w:t>
              <w:br/>
              <w:t>Menos achismo. Mais raciocínio clínico.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Arial" w:hAnsi="Arial"/>
          <w:b/>
          <w:color w:val="4B4F58"/>
          <w:sz w:val="16"/>
        </w:rPr>
        <w:t>ALTERNATIVAS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0"/>
        </w:rPr>
        <w:t>Inteligência clínica para uma MTC mais clara, segura e profunda.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0"/>
        </w:rPr>
        <w:t>Tradição, fisiologia e inteligência artificial aplicadas à Medicina Chinesa.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0"/>
        </w:rPr>
        <w:t>A IA que ajuda o acupunturista a pensar clinicamente.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0"/>
        </w:rPr>
        <w:t>Da tradição ao método. Da filosofia à fisiologia.</w:t>
      </w:r>
    </w:p>
    <w:p>
      <w:pPr>
        <w:spacing w:before="240" w:after="40"/>
      </w:pPr>
      <w:r>
        <w:rPr>
          <w:rFonts w:ascii="Arial" w:hAnsi="Arial"/>
          <w:b/>
          <w:color w:val="0B0B0D"/>
          <w:sz w:val="36"/>
        </w:rPr>
        <w:t>9. Identidade visual e direção estética</w:t>
      </w:r>
    </w:p>
    <w:p>
      <w:pPr>
        <w:spacing w:before="60" w:after="200"/>
        <w:pBdr>
          <w:bottom w:val="single" w:sz="8" w:color="B8BCC6"/>
        </w:pBdr>
      </w:pPr>
    </w:p>
    <w:p>
      <w:pPr>
        <w:spacing w:line="271" w:lineRule="auto" w:after="120"/>
      </w:pPr>
      <w:r>
        <w:rPr>
          <w:rFonts w:ascii="Arial" w:hAnsi="Arial"/>
          <w:color w:val="0B0B0D"/>
          <w:sz w:val="21"/>
        </w:rPr>
        <w:t>A identidade visual deve comunicar autoridade, tecnologia e refinamento sem cair em um visual esotérico demais ou frio demais.</w:t>
      </w:r>
    </w:p>
    <w:p>
      <w:pPr>
        <w:spacing w:before="120" w:after="40"/>
      </w:pPr>
      <w:r>
        <w:rPr>
          <w:rFonts w:ascii="Arial" w:hAnsi="Arial"/>
          <w:b/>
          <w:color w:val="4B4F58"/>
          <w:sz w:val="16"/>
        </w:rPr>
        <w:t>TAGLINE VISUAL RECOMENDADA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3" w:color="E5E7EB"/>
          <w:left w:val="single" w:sz="3" w:color="E5E7EB"/>
          <w:bottom w:val="single" w:sz="3" w:color="E5E7EB"/>
          <w:right w:val="single" w:sz="3" w:color="E5E7EB"/>
          <w:insideH w:val="single" w:sz="3" w:color="E5E7EB"/>
          <w:insideV w:val="single" w:sz="3" w:color="E5E7EB"/>
        </w:tblBorders>
      </w:tblPr>
      <w:tblGrid>
        <w:gridCol w:w="10200"/>
      </w:tblGrid>
      <w:tr>
        <w:tc>
          <w:tcPr>
            <w:tcW w:type="dxa" w:w="10200"/>
            <w:shd w:fill="F4F5F7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line="269" w:lineRule="auto" w:after="0"/>
            </w:pPr>
            <w:r>
              <w:rPr>
                <w:rFonts w:ascii="Arial" w:hAnsi="Arial"/>
                <w:b/>
                <w:color w:val="0B0B0D"/>
                <w:sz w:val="22"/>
              </w:rPr>
              <w:t>Tradição • Fisiologia • Inteligência</w:t>
            </w:r>
          </w:p>
        </w:tc>
      </w:tr>
    </w:tbl>
    <w:p>
      <w:pPr>
        <w:spacing w:after="40"/>
      </w:pPr>
    </w:p>
    <w:p>
      <w:pPr>
        <w:spacing w:line="271" w:lineRule="auto" w:after="120"/>
      </w:pPr>
      <w:r>
        <w:rPr>
          <w:rFonts w:ascii="Arial" w:hAnsi="Arial"/>
          <w:color w:val="0B0B0D"/>
          <w:sz w:val="21"/>
        </w:rPr>
        <w:t>Essa tagline é mais própria do projeto do que “Tradição • Ciência • Inovação”, porque conecta diretamente com a tese “MTC: da filosofia à fisiologia”.</w:t>
      </w:r>
    </w:p>
    <w:p>
      <w:pPr>
        <w:spacing w:before="120" w:after="40"/>
      </w:pPr>
      <w:r>
        <w:rPr>
          <w:rFonts w:ascii="Arial" w:hAnsi="Arial"/>
          <w:b/>
          <w:color w:val="4B4F58"/>
          <w:sz w:val="16"/>
        </w:rPr>
        <w:t>PALETA RECOMENDADA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DE3"/>
          <w:left w:val="single" w:sz="4" w:color="D9DDE3"/>
          <w:bottom w:val="single" w:sz="4" w:color="D9DDE3"/>
          <w:right w:val="single" w:sz="4" w:color="D9DDE3"/>
          <w:insideH w:val="single" w:sz="4" w:color="D9DDE3"/>
          <w:insideV w:val="single" w:sz="4" w:color="D9DDE3"/>
        </w:tblBorders>
      </w:tblPr>
      <w:tblGrid>
        <w:gridCol w:w="5100"/>
        <w:gridCol w:w="5100"/>
      </w:tblGrid>
      <w:tr>
        <w:tc>
          <w:tcPr>
            <w:tcW w:type="dxa" w:w="5100"/>
            <w:vAlign w:val="center"/>
            <w:shd w:fill="1E1F24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Cor</w:t>
            </w:r>
          </w:p>
        </w:tc>
        <w:tc>
          <w:tcPr>
            <w:tcW w:type="dxa" w:w="5100"/>
            <w:vAlign w:val="center"/>
            <w:shd w:fill="1E1F24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Código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sz w:val="18"/>
              </w:rPr>
              <w:t>Preto profundo</w:t>
            </w:r>
          </w:p>
        </w:tc>
        <w:tc>
          <w:tcPr>
            <w:tcW w:type="dxa" w:w="51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8"/>
              </w:rPr>
              <w:t>#0B0B0D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sz w:val="18"/>
              </w:rPr>
              <w:t>Grafite</w:t>
            </w:r>
          </w:p>
        </w:tc>
        <w:tc>
          <w:tcPr>
            <w:tcW w:type="dxa" w:w="51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8"/>
              </w:rPr>
              <w:t>#1E1F24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sz w:val="18"/>
              </w:rPr>
              <w:t>Cinza aço</w:t>
            </w:r>
          </w:p>
        </w:tc>
        <w:tc>
          <w:tcPr>
            <w:tcW w:type="dxa" w:w="51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8"/>
              </w:rPr>
              <w:t>#4B4F58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sz w:val="18"/>
              </w:rPr>
              <w:t>Prata metálico</w:t>
            </w:r>
          </w:p>
        </w:tc>
        <w:tc>
          <w:tcPr>
            <w:tcW w:type="dxa" w:w="51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8"/>
              </w:rPr>
              <w:t>#B8BCC6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sz w:val="18"/>
              </w:rPr>
              <w:t>Branco gelo</w:t>
            </w:r>
          </w:p>
        </w:tc>
        <w:tc>
          <w:tcPr>
            <w:tcW w:type="dxa" w:w="51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8"/>
              </w:rPr>
              <w:t>#F4F5F7</w:t>
            </w:r>
          </w:p>
        </w:tc>
      </w:tr>
    </w:tbl>
    <w:p>
      <w:pPr>
        <w:spacing w:before="120" w:after="40"/>
      </w:pPr>
      <w:r>
        <w:rPr>
          <w:rFonts w:ascii="Arial" w:hAnsi="Arial"/>
          <w:b/>
          <w:color w:val="4B4F58"/>
          <w:sz w:val="16"/>
        </w:rPr>
        <w:t>DIREÇÃO PARA INSTAGRAM E PEÇAS INSTITUCIONAIS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0"/>
        </w:rPr>
        <w:t>Fundo preto ou grafite na maior parte das peças.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0"/>
        </w:rPr>
        <w:t>Títulos grandes em branco gelo, com uma palavra de impacto em prata.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0"/>
        </w:rPr>
        <w:t>Poucos elementos visuais, linhas finas e ícones discretos.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0"/>
        </w:rPr>
        <w:t>Tipografia limpa, moderna e sofisticada.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0"/>
        </w:rPr>
        <w:t>Posts com aparência de tecnologia premium, sem excesso de brilho ou misticismo visual.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0"/>
        </w:rPr>
        <w:t>Peças institucionais com frases curtas, espaço visual e hierarquia clara.</w:t>
      </w:r>
    </w:p>
    <w:p>
      <w:pPr>
        <w:spacing w:before="240" w:after="40"/>
      </w:pPr>
      <w:r>
        <w:rPr>
          <w:rFonts w:ascii="Arial" w:hAnsi="Arial"/>
          <w:b/>
          <w:color w:val="0B0B0D"/>
          <w:sz w:val="36"/>
        </w:rPr>
        <w:t>10. Matriz de comunicação</w:t>
      </w:r>
    </w:p>
    <w:p>
      <w:pPr>
        <w:spacing w:before="60" w:after="200"/>
        <w:pBdr>
          <w:bottom w:val="single" w:sz="8" w:color="B8BCC6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DE3"/>
          <w:left w:val="single" w:sz="4" w:color="D9DDE3"/>
          <w:bottom w:val="single" w:sz="4" w:color="D9DDE3"/>
          <w:right w:val="single" w:sz="4" w:color="D9DDE3"/>
          <w:insideH w:val="single" w:sz="4" w:color="D9DDE3"/>
          <w:insideV w:val="single" w:sz="4" w:color="D9DDE3"/>
        </w:tblBorders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1E1F24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Contexto</w:t>
            </w:r>
          </w:p>
        </w:tc>
        <w:tc>
          <w:tcPr>
            <w:tcW w:type="dxa" w:w="3400"/>
            <w:vAlign w:val="center"/>
            <w:shd w:fill="1E1F24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Mensagem central</w:t>
            </w:r>
          </w:p>
        </w:tc>
        <w:tc>
          <w:tcPr>
            <w:tcW w:type="dxa" w:w="3400"/>
            <w:vAlign w:val="center"/>
            <w:shd w:fill="1E1F24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Exemplo de frase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sz w:val="17"/>
              </w:rPr>
              <w:t>Página de vendas</w:t>
            </w:r>
          </w:p>
        </w:tc>
        <w:tc>
          <w:tcPr>
            <w:tcW w:type="dxa" w:w="340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7"/>
              </w:rPr>
              <w:t>Sair do achismo e estruturar o raciocínio clínico.</w:t>
            </w:r>
          </w:p>
        </w:tc>
        <w:tc>
          <w:tcPr>
            <w:tcW w:type="dxa" w:w="340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7"/>
              </w:rPr>
              <w:t>A JING IA ajuda você a organizar a avaliação, compreender padrões e conduzir com mais segurança.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sz w:val="17"/>
              </w:rPr>
              <w:t>Instagram</w:t>
            </w:r>
          </w:p>
        </w:tc>
        <w:tc>
          <w:tcPr>
            <w:tcW w:type="dxa" w:w="340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7"/>
              </w:rPr>
              <w:t>Educação, autoridade e provocação clínica.</w:t>
            </w:r>
          </w:p>
        </w:tc>
        <w:tc>
          <w:tcPr>
            <w:tcW w:type="dxa" w:w="340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7"/>
              </w:rPr>
              <w:t>Você não precisa decorar mais protocolos. Precisa aprender a pensar clinicamente.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sz w:val="17"/>
              </w:rPr>
              <w:t>Aula ou evento</w:t>
            </w:r>
          </w:p>
        </w:tc>
        <w:tc>
          <w:tcPr>
            <w:tcW w:type="dxa" w:w="340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7"/>
              </w:rPr>
              <w:t>MTC com método e fisiologia.</w:t>
            </w:r>
          </w:p>
        </w:tc>
        <w:tc>
          <w:tcPr>
            <w:tcW w:type="dxa" w:w="340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7"/>
              </w:rPr>
              <w:t>Da filosofia à fisiologia: como transformar conceitos da MTC em raciocínio aplicável.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sz w:val="17"/>
              </w:rPr>
              <w:t>Pitch para parceiro</w:t>
            </w:r>
          </w:p>
        </w:tc>
        <w:tc>
          <w:tcPr>
            <w:tcW w:type="dxa" w:w="340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7"/>
              </w:rPr>
              <w:t>Plataforma de inteligência clínica com diferencial metodológico.</w:t>
            </w:r>
          </w:p>
        </w:tc>
        <w:tc>
          <w:tcPr>
            <w:tcW w:type="dxa" w:w="340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7"/>
              </w:rPr>
              <w:t>Não vendemos apenas uma IA. Vendemos um método de raciocínio clínico aplicado à MTC.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sz w:val="17"/>
              </w:rPr>
              <w:t>Comunidade de alunos</w:t>
            </w:r>
          </w:p>
        </w:tc>
        <w:tc>
          <w:tcPr>
            <w:tcW w:type="dxa" w:w="340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7"/>
              </w:rPr>
              <w:t>Apoio, clareza e aprofundamento.</w:t>
            </w:r>
          </w:p>
        </w:tc>
        <w:tc>
          <w:tcPr>
            <w:tcW w:type="dxa" w:w="340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7"/>
              </w:rPr>
              <w:t>Use a JING IA para organizar hipóteses, revisar padrões e fortalecer sua conduta.</w:t>
            </w:r>
          </w:p>
        </w:tc>
      </w:tr>
    </w:tbl>
    <w:p>
      <w:pPr>
        <w:spacing w:before="240" w:after="40"/>
      </w:pPr>
      <w:r>
        <w:rPr>
          <w:rFonts w:ascii="Arial" w:hAnsi="Arial"/>
          <w:b/>
          <w:color w:val="0B0B0D"/>
          <w:sz w:val="36"/>
        </w:rPr>
        <w:t>11. Checklist de coerência da marca</w:t>
      </w:r>
    </w:p>
    <w:p>
      <w:pPr>
        <w:spacing w:before="60" w:after="200"/>
        <w:pBdr>
          <w:bottom w:val="single" w:sz="8" w:color="B8BCC6"/>
        </w:pBdr>
      </w:pPr>
    </w:p>
    <w:p>
      <w:pPr>
        <w:spacing w:after="60"/>
      </w:pPr>
      <w:r>
        <w:rPr>
          <w:rFonts w:ascii="Arial" w:hAnsi="Arial"/>
          <w:color w:val="4B4F58"/>
          <w:sz w:val="22"/>
        </w:rPr>
        <w:t xml:space="preserve">☐ </w:t>
      </w:r>
      <w:r>
        <w:rPr>
          <w:rFonts w:ascii="Arial" w:hAnsi="Arial"/>
          <w:color w:val="0B0B0D"/>
          <w:sz w:val="20"/>
        </w:rPr>
        <w:t>A mensagem deixa claro que a JING IA não substitui o terapeuta?</w:t>
      </w:r>
    </w:p>
    <w:p>
      <w:pPr>
        <w:spacing w:after="60"/>
      </w:pPr>
      <w:r>
        <w:rPr>
          <w:rFonts w:ascii="Arial" w:hAnsi="Arial"/>
          <w:color w:val="4B4F58"/>
          <w:sz w:val="22"/>
        </w:rPr>
        <w:t xml:space="preserve">☐ </w:t>
      </w:r>
      <w:r>
        <w:rPr>
          <w:rFonts w:ascii="Arial" w:hAnsi="Arial"/>
          <w:color w:val="0B0B0D"/>
          <w:sz w:val="20"/>
        </w:rPr>
        <w:t>A peça evita promessas de cura ou resultados garantidos?</w:t>
      </w:r>
    </w:p>
    <w:p>
      <w:pPr>
        <w:spacing w:after="60"/>
      </w:pPr>
      <w:r>
        <w:rPr>
          <w:rFonts w:ascii="Arial" w:hAnsi="Arial"/>
          <w:color w:val="4B4F58"/>
          <w:sz w:val="22"/>
        </w:rPr>
        <w:t xml:space="preserve">☐ </w:t>
      </w:r>
      <w:r>
        <w:rPr>
          <w:rFonts w:ascii="Arial" w:hAnsi="Arial"/>
          <w:color w:val="0B0B0D"/>
          <w:sz w:val="20"/>
        </w:rPr>
        <w:t>A comunicação reforça raciocínio clínico, método e segurança?</w:t>
      </w:r>
    </w:p>
    <w:p>
      <w:pPr>
        <w:spacing w:after="60"/>
      </w:pPr>
      <w:r>
        <w:rPr>
          <w:rFonts w:ascii="Arial" w:hAnsi="Arial"/>
          <w:color w:val="4B4F58"/>
          <w:sz w:val="22"/>
        </w:rPr>
        <w:t xml:space="preserve">☐ </w:t>
      </w:r>
      <w:r>
        <w:rPr>
          <w:rFonts w:ascii="Arial" w:hAnsi="Arial"/>
          <w:color w:val="0B0B0D"/>
          <w:sz w:val="20"/>
        </w:rPr>
        <w:t>A tradição da MTC aparece com respeito, mas sem misticismo exagerado?</w:t>
      </w:r>
    </w:p>
    <w:p>
      <w:pPr>
        <w:spacing w:after="60"/>
      </w:pPr>
      <w:r>
        <w:rPr>
          <w:rFonts w:ascii="Arial" w:hAnsi="Arial"/>
          <w:color w:val="4B4F58"/>
          <w:sz w:val="22"/>
        </w:rPr>
        <w:t xml:space="preserve">☐ </w:t>
      </w:r>
      <w:r>
        <w:rPr>
          <w:rFonts w:ascii="Arial" w:hAnsi="Arial"/>
          <w:color w:val="0B0B0D"/>
          <w:sz w:val="20"/>
        </w:rPr>
        <w:t>A fisiologia aparece como ponte, não como negação da MTC?</w:t>
      </w:r>
    </w:p>
    <w:p>
      <w:pPr>
        <w:spacing w:after="60"/>
      </w:pPr>
      <w:r>
        <w:rPr>
          <w:rFonts w:ascii="Arial" w:hAnsi="Arial"/>
          <w:color w:val="4B4F58"/>
          <w:sz w:val="22"/>
        </w:rPr>
        <w:t xml:space="preserve">☐ </w:t>
      </w:r>
      <w:r>
        <w:rPr>
          <w:rFonts w:ascii="Arial" w:hAnsi="Arial"/>
          <w:color w:val="0B0B0D"/>
          <w:sz w:val="20"/>
        </w:rPr>
        <w:t>A IA aparece como apoio à tomada de decisão, não como diagnóstico automático?</w:t>
      </w:r>
    </w:p>
    <w:p>
      <w:pPr>
        <w:spacing w:after="60"/>
      </w:pPr>
      <w:r>
        <w:rPr>
          <w:rFonts w:ascii="Arial" w:hAnsi="Arial"/>
          <w:color w:val="4B4F58"/>
          <w:sz w:val="22"/>
        </w:rPr>
        <w:t xml:space="preserve">☐ </w:t>
      </w:r>
      <w:r>
        <w:rPr>
          <w:rFonts w:ascii="Arial" w:hAnsi="Arial"/>
          <w:color w:val="0B0B0D"/>
          <w:sz w:val="20"/>
        </w:rPr>
        <w:t>O visual transmite sofisticação, clareza e tecnologia premium?</w:t>
      </w:r>
    </w:p>
    <w:p>
      <w:pPr>
        <w:spacing w:after="60"/>
      </w:pPr>
      <w:r>
        <w:rPr>
          <w:rFonts w:ascii="Arial" w:hAnsi="Arial"/>
          <w:color w:val="4B4F58"/>
          <w:sz w:val="22"/>
        </w:rPr>
        <w:t xml:space="preserve">☐ </w:t>
      </w:r>
      <w:r>
        <w:rPr>
          <w:rFonts w:ascii="Arial" w:hAnsi="Arial"/>
          <w:color w:val="0B0B0D"/>
          <w:sz w:val="20"/>
        </w:rPr>
        <w:t>A frase “Menos achismo. Mais raciocínio clínico.” está presente ou implícita?</w:t>
      </w:r>
    </w:p>
    <w:p>
      <w:pPr>
        <w:spacing w:before="240" w:after="40"/>
      </w:pPr>
      <w:r>
        <w:rPr>
          <w:rFonts w:ascii="Arial" w:hAnsi="Arial"/>
          <w:b/>
          <w:color w:val="0B0B0D"/>
          <w:sz w:val="36"/>
        </w:rPr>
        <w:t>12. Síntese final</w:t>
      </w:r>
    </w:p>
    <w:p>
      <w:pPr>
        <w:spacing w:before="60" w:after="200"/>
        <w:pBdr>
          <w:bottom w:val="single" w:sz="8" w:color="B8BCC6"/>
        </w:pBdr>
      </w:pPr>
    </w:p>
    <w:p>
      <w:pPr>
        <w:spacing w:line="271" w:lineRule="auto" w:after="120"/>
      </w:pPr>
      <w:r>
        <w:rPr>
          <w:rFonts w:ascii="Arial" w:hAnsi="Arial"/>
          <w:color w:val="0B0B0D"/>
          <w:sz w:val="21"/>
        </w:rPr>
        <w:t>Com esses ajustes, a JING IA deixa de ser apenas uma marca bonita de IA e passa a ser uma marca com tese, método, inimigo claro, promessa clínica e autoridade própria.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3" w:color="E5E7EB"/>
          <w:left w:val="single" w:sz="3" w:color="E5E7EB"/>
          <w:bottom w:val="single" w:sz="3" w:color="E5E7EB"/>
          <w:right w:val="single" w:sz="3" w:color="E5E7EB"/>
          <w:insideH w:val="single" w:sz="3" w:color="E5E7EB"/>
          <w:insideV w:val="single" w:sz="3" w:color="E5E7EB"/>
        </w:tblBorders>
      </w:tblPr>
      <w:tblGrid>
        <w:gridCol w:w="10200"/>
      </w:tblGrid>
      <w:tr>
        <w:tc>
          <w:tcPr>
            <w:tcW w:type="dxa" w:w="10200"/>
            <w:shd w:fill="F4F5F7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line="269" w:lineRule="auto" w:after="0"/>
            </w:pPr>
            <w:r>
              <w:rPr>
                <w:rFonts w:ascii="Arial" w:hAnsi="Arial"/>
                <w:b/>
                <w:color w:val="0B0B0D"/>
                <w:sz w:val="22"/>
              </w:rPr>
              <w:t>A força da JING IA está em unir aquilo que muitos profissionais ainda tratam como separado: tradição, fisiologia, clínica e inteligência artificial.</w:t>
            </w:r>
          </w:p>
        </w:tc>
      </w:tr>
    </w:tbl>
    <w:p>
      <w:pPr>
        <w:spacing w:after="40"/>
      </w:pPr>
    </w:p>
    <w:p>
      <w:pPr>
        <w:spacing w:line="271" w:lineRule="auto" w:after="120"/>
      </w:pPr>
      <w:r>
        <w:rPr>
          <w:rFonts w:ascii="Arial" w:hAnsi="Arial"/>
          <w:color w:val="0B0B0D"/>
          <w:sz w:val="21"/>
        </w:rPr>
        <w:t>A marca deve seguir sempre este eixo: respeitar a raiz, organizar o raciocínio, integrar a fisiologia e elevar a prática clínica da Medicina Chinesa.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92" w:right="1020" w:bottom="879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4F58"/>
        <w:sz w:val="16"/>
      </w:rPr>
      <w:t>Medicina Chinesa da filosofia à fisiologia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4B4F58"/>
        <w:sz w:val="16"/>
      </w:rPr>
      <w:t>JING IA | Brandbook e Manifesto da Marca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0B0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B0B0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B0B0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JING IA - Manifesto da Marca e Brandbook Estratégico</dc:title>
  <dc:subject>Brandbook, manifesto e posicionamento estratégico</dc:subject>
  <dc:creator>OpenAI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