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tfx3vgaujs9" w:id="0"/>
      <w:bookmarkEnd w:id="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Guion Técnico de Producción: Fortezza 4.0 - Gobernanza Cognitiva en Acción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Proyecto: Video Demostrativo de Flujo de Trabajo y Cumplimiento Fiscal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Duración Estimada: 5:30 Minutos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Estilo Visual: High-Tech, Sofisticado, "Digital Blueprint", Interfaz Holográfica.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Paleta: Gris Oxford, Negro, Blanco, Azul Petróleo, Acentos Bronce.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Narrador Principal (VO): A2-PMO "Carlos" (Voz profesional, clara, tecnológica).</w:t>
      </w:r>
    </w:p>
    <w:p w:rsidR="00000000" w:rsidDel="00000000" w:rsidP="00000000" w:rsidRDefault="00000000" w:rsidRPr="00000000" w14:paraId="000000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(ESCENA 1: INTRODUCCIÓN - EL RIESGO Y LA SOLUCIÓN)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(Música: Tensa, tecnológica, construcción gradual.)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4350"/>
        <w:gridCol w:w="3120"/>
        <w:tblGridChange w:id="0">
          <w:tblGrid>
            <w:gridCol w:w="1305"/>
            <w:gridCol w:w="4350"/>
            <w:gridCol w:w="31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VIDEO (Visuales y Dirección de Cámara)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AUDIO (Música, VO, SFX)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CÁMARA:</w:t>
            </w:r>
            <w:r w:rsidDel="00000000" w:rsidR="00000000" w:rsidRPr="00000000">
              <w:rPr>
                <w:color w:val="1b1c1d"/>
                <w:rtl w:val="0"/>
              </w:rPr>
              <w:t xml:space="preserve"> Tomas de drone cinemáticas de los proyectos emblemáticos de Fortezza en San Pedro Garza García. Tomas rápidas, luz de atardecer.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(Música inicia)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Superposición sutil de líneas de datos y gráficos financieros sobre los edificios. El logotipo de Fortezza aparece centrado.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En Grupo Fortezza, nuestra estrategia 2026 se basa en una inversión sin precedentes en inteligencia de negocio.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CÁMARA:</w:t>
            </w:r>
            <w:r w:rsidDel="00000000" w:rsidR="00000000" w:rsidRPr="00000000">
              <w:rPr>
                <w:color w:val="1b1c1d"/>
                <w:rtl w:val="0"/>
              </w:rPr>
              <w:t xml:space="preserve"> Transición a visualización abstracta. Datos fluyendo rápidamente hacia un nodo central etiquetado "Intangibles 2026".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 "20+ Proyectos Estratégicos".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Más de 20 proyectos estratégicos intangibles. Potencian nuestro futuro...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El flujo de datos se vuelve rojo. Aparece un icono estilizado del SAT (Autoridad Fiscal Mexicana) observando el nodo. Palabras clave flotan: "Deducibilidad", "Riesgo Fiscal".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...pero también nos exponen a un riesgo significativo: la complejidad operativa y el escrutinio fiscal.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Zoom al icono del SAT. Se despliegan textos legales: "Art. 5-A CFF", "Art. 69-B CFF".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El SAT exige probar la sustancia económica de cada operación. Hacerlo manualmente es imposible.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Aparece el título principal en tipografía moderna y audaz: "Arquitectura de Gobernanza Cognitiva". Líneas de red neuronal se dibujan detrás del título.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Por eso creamos la Arquitectura de Gobernanza Cognitiva.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La red neuronal se transforma en un diagrama esquemático del sistema Multi-Agente. Aparecen 6 nodos/avatares (A1 a A6).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Un sistema donde IAs especializadas actúan como guardianes digitales, asegurando el cumplimiento por diseño.</w:t>
            </w:r>
          </w:p>
        </w:tc>
      </w:tr>
    </w:tbl>
    <w:p w:rsidR="00000000" w:rsidDel="00000000" w:rsidP="00000000" w:rsidRDefault="00000000" w:rsidRPr="00000000" w14:paraId="0000002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(ESCENA 2: EL BENCHMARK - LOS 4 PILARES DEL SAT)</w:t>
      </w:r>
    </w:p>
    <w:tbl>
      <w:tblPr>
        <w:tblStyle w:val="Table2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795"/>
        <w:gridCol w:w="3660"/>
        <w:tblGridChange w:id="0">
          <w:tblGrid>
            <w:gridCol w:w="1305"/>
            <w:gridCol w:w="3795"/>
            <w:gridCol w:w="36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VIDEO (Visuales y Dirección de Cámara)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AUDIO (Música, VO, SFX)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Gráfico limpio. Cuatro pilares estilizados se construyen desde la base. Texto: "El Fundamento del Cumplimiento Fiscal".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Nuestros agentes están entrenados para vigilar obsesivamente los cuatro requisitos críticos que exige el SAT.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00:58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(Pilar 1):</w:t>
            </w:r>
            <w:r w:rsidDel="00000000" w:rsidR="00000000" w:rsidRPr="00000000">
              <w:rPr>
                <w:color w:val="1b1c1d"/>
                <w:rtl w:val="0"/>
              </w:rPr>
              <w:t xml:space="preserve"> El primer pilar se ilumina (Color Bronce).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 "1. Razón de Negocios (Art. 5-A CFF)". Icono: Engranajes económicos.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Pilar 1: Razón de Negocios. La operación debe tener una motivación económica genuina, no solo fiscal.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(Pilar 2):</w:t>
            </w:r>
            <w:r w:rsidDel="00000000" w:rsidR="00000000" w:rsidRPr="00000000">
              <w:rPr>
                <w:color w:val="1b1c1d"/>
                <w:rtl w:val="0"/>
              </w:rPr>
              <w:t xml:space="preserve"> El segundo pilar se ilumina.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 "2. Beneficio Económico Esperado (BEE)". Gráfico de balanza: BEE &gt; Beneficio Fiscal.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Pilar 2: Beneficio Económico Esperado, o BEE. El beneficio proyectado debe ser superior al beneficio fiscal de la deducción.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(Pilar 3):</w:t>
            </w:r>
            <w:r w:rsidDel="00000000" w:rsidR="00000000" w:rsidRPr="00000000">
              <w:rPr>
                <w:color w:val="1b1c1d"/>
                <w:rtl w:val="0"/>
              </w:rPr>
              <w:t xml:space="preserve"> El tercer pilar se ilumina.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 "3. Materialidad (Art. 69-B CFF)". Iconos de documentos, logs y correos fluyen hacia el pilar.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Pilar 3: Materialidad. La prueba irrefutable de que el servicio se prestó. Evidencia del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proceso</w:t>
            </w:r>
            <w:r w:rsidDel="00000000" w:rsidR="00000000" w:rsidRPr="00000000">
              <w:rPr>
                <w:color w:val="1b1c1d"/>
                <w:rtl w:val="0"/>
              </w:rPr>
              <w:t xml:space="preserve">, no solo del resultado.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(Pilar 4):</w:t>
            </w:r>
            <w:r w:rsidDel="00000000" w:rsidR="00000000" w:rsidRPr="00000000">
              <w:rPr>
                <w:color w:val="1b1c1d"/>
                <w:rtl w:val="0"/>
              </w:rPr>
              <w:t xml:space="preserve"> El cuarto pilar se ilumina.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 "4. Trazabilidad y Fecha Cierta". Icono de Sello Digital (NOM-151) y Cadena de Bloques.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Y Pilar 4: Trazabilidad y Fecha Cierta. Documentación completa, indispensable y sellada digitalmente.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(ESCENA 3: CASO DE ESTUDIO - EL FLUJO EN ACCIÓN (PROYECTO 1.1))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(Música: Se vuelve más rítmica y orientada a la acción.)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3420"/>
        <w:gridCol w:w="3150"/>
        <w:tblGridChange w:id="0">
          <w:tblGrid>
            <w:gridCol w:w="2205"/>
            <w:gridCol w:w="3420"/>
            <w:gridCol w:w="31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VIDEO (Visuales y Dirección de Cámara)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AUDIO (Música, VO, SFX)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PANTALLA:</w:t>
            </w:r>
            <w:r w:rsidDel="00000000" w:rsidR="00000000" w:rsidRPr="00000000">
              <w:rPr>
                <w:color w:val="1b1c1d"/>
                <w:rtl w:val="0"/>
              </w:rPr>
              <w:t xml:space="preserve"> Transición a una interfaz de usuario simulada (El Dashboard de la PMO). Título: "Caso de Estudio: Proyecto 1.1 (Estudio Macroeconómico)".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Veamos cómo funciona en la práctica con el Proyecto 1.1.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(FASE 0: EL FIREWALL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(Fase 0):</w:t>
            </w:r>
            <w:r w:rsidDel="00000000" w:rsidR="00000000" w:rsidRPr="00000000">
              <w:rPr>
                <w:color w:val="1b1c1d"/>
                <w:rtl w:val="0"/>
              </w:rPr>
              <w:t xml:space="preserve"> El Dashboard muestra "FASE 0: INTAKE". Un documento "SIB.pdf" entra al sistema. A2-PMO (Avatar Carlos) lo procesa y distribuye.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Fase Cero. Todo inicia con el SIB. Lo recibo y lo distribuyo automáticamente para validación.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(Validación):</w:t>
            </w:r>
            <w:r w:rsidDel="00000000" w:rsidR="00000000" w:rsidRPr="00000000">
              <w:rPr>
                <w:color w:val="1b1c1d"/>
                <w:rtl w:val="0"/>
              </w:rPr>
              <w:t xml:space="preserve"> El SIB llega a A1 (María) y A3 (Laura). Pantalla dividida mostrando sus análisis.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Inmediatamente, María (Estrategia) y Laura (Fiscal) activan su firewall.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(A1):</w:t>
            </w:r>
            <w:r w:rsidDel="00000000" w:rsidR="00000000" w:rsidRPr="00000000">
              <w:rPr>
                <w:color w:val="1b1c1d"/>
                <w:rtl w:val="0"/>
              </w:rPr>
              <w:t xml:space="preserve"> Zoom al análisis de A1. Se resaltan secciones del SIB relacionadas con el BEE ($3.0M). Checkmark verde.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(SFX: Análisis rápido)</w:t>
            </w:r>
            <w:r w:rsidDel="00000000" w:rsidR="00000000" w:rsidRPr="00000000">
              <w:rPr>
                <w:color w:val="1b1c1d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VOZ A1-MARÍA (Sintetizada):</w:t>
            </w:r>
            <w:r w:rsidDel="00000000" w:rsidR="00000000" w:rsidRPr="00000000">
              <w:rPr>
                <w:color w:val="1b1c1d"/>
                <w:rtl w:val="0"/>
              </w:rPr>
              <w:t xml:space="preserve"> "BEE cuantificado en $3.0M. Alineación estratégica validada."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01:56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(A3):</w:t>
            </w:r>
            <w:r w:rsidDel="00000000" w:rsidR="00000000" w:rsidRPr="00000000">
              <w:rPr>
                <w:color w:val="1b1c1d"/>
                <w:rtl w:val="0"/>
              </w:rPr>
              <w:t xml:space="preserve"> Zoom al análisis de A3. Se resaltan secciones de justificación (Indispensabilidad). Checkmark verde.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VOZ A3-LAURA (Sintetizada):</w:t>
            </w:r>
            <w:r w:rsidDel="00000000" w:rsidR="00000000" w:rsidRPr="00000000">
              <w:rPr>
                <w:color w:val="1b1c1d"/>
                <w:rtl w:val="0"/>
              </w:rPr>
              <w:t xml:space="preserve">"Razón de Negocios y Estricta Indispensabilidad confirmadas."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(Dashboard):</w:t>
            </w:r>
            <w:r w:rsidDel="00000000" w:rsidR="00000000" w:rsidRPr="00000000">
              <w:rPr>
                <w:color w:val="1b1c1d"/>
                <w:rtl w:val="0"/>
              </w:rPr>
              <w:t xml:space="preserve"> El estado cambia a "FASE 0 APROBADA". Los Pilares 1, 2 y 4 se iluminan en la UI.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Si no cumple, el sistema lo detiene. Protección desde el día uno.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(FASE 2: EL SELLO LEGAL)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(Fase 2):</w:t>
            </w:r>
            <w:r w:rsidDel="00000000" w:rsidR="00000000" w:rsidRPr="00000000">
              <w:rPr>
                <w:color w:val="1b1c1d"/>
                <w:rtl w:val="0"/>
              </w:rPr>
              <w:t xml:space="preserve"> Estado "FASE 2: CONTRATACIÓN". El Agente A4-Legal genera un contrato digital.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Fase 2: Formalización. El Agente Legal genera el contrato. Pero la formalidad requiere más que una firma.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(Fecha Cierta):</w:t>
            </w:r>
            <w:r w:rsidDel="00000000" w:rsidR="00000000" w:rsidRPr="00000000">
              <w:rPr>
                <w:color w:val="1b1c1d"/>
                <w:rtl w:val="0"/>
              </w:rPr>
              <w:t xml:space="preserve"> Animación 3D del contrato. Un icono de "RPA" lo toma y lo envía a un nodo "NOM-151". Un Sello Digital holográfico complejo se estampa sobre el contrato.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Nuestro sistema RPA asegura automáticamente el Sello Digital de Tiempo.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(SFX: Sello digital impactante)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Close-up al sello.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 "FECHA CIERTA VERIFICADA".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Garantizando la "Fecha Cierta" exigida por el SAT.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(FASE 3: MATERIALIDAD CRÍTICA)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(Fase 3):</w:t>
            </w:r>
            <w:r w:rsidDel="00000000" w:rsidR="00000000" w:rsidRPr="00000000">
              <w:rPr>
                <w:color w:val="1b1c1d"/>
                <w:rtl w:val="0"/>
              </w:rPr>
              <w:t xml:space="preserve"> Estado "FASE 3: EJECUCIÓN".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Fase 3: Ejecución. Aquí es donde la mayoría falla ante el SAT. La prueba de Materialidad. ¿Cómo probar que el servicio ocurrió?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(Recopilación de Evidencia):</w:t>
            </w:r>
            <w:r w:rsidDel="00000000" w:rsidR="00000000" w:rsidRPr="00000000">
              <w:rPr>
                <w:color w:val="1b1c1d"/>
                <w:rtl w:val="0"/>
              </w:rPr>
              <w:t xml:space="preserve">Animación dinámica mostrando al Bot RPA barriendo diferentes fuentes (Emails, SharePoint, Servidores). Extrae documentos y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Nuestra RPA no espera. Recopila activamente toda la evidencia del proceso mientras sucede.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Se muestran ejemplos rápidos de evidencia: Minutas detalladas, Borradores intermedios, y crucialmente, Logs Técnicos de ejecución (código desplazándose).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Minutas, borradores, correos, y lo más importante: los logs técnicos inmutables del trabajo realizado.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02:50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(Auditoría Continua):</w:t>
            </w:r>
            <w:r w:rsidDel="00000000" w:rsidR="00000000" w:rsidRPr="00000000">
              <w:rPr>
                <w:color w:val="1b1c1d"/>
                <w:rtl w:val="0"/>
              </w:rPr>
              <w:t xml:space="preserve"> Zoom al Avatar A3-Fiscal (Laura). Ella monitorea un "SCORE DE MATERIALIDAD" que aumenta a medida que la evidencia entra.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Laura (A3-Fiscal) realiza una Auditoría Continua de Materialidad. Validamos la existencia del servicio en tiempo real. Pilar 3 asegurado.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(FASE 6: CALIDAD Y CONFLICTO)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(Fase 6):</w:t>
            </w:r>
            <w:r w:rsidDel="00000000" w:rsidR="00000000" w:rsidRPr="00000000">
              <w:rPr>
                <w:color w:val="1b1c1d"/>
                <w:rtl w:val="0"/>
              </w:rPr>
              <w:t xml:space="preserve"> Estado "FASE 6: VALIDACIÓN". El proveedor entrega "Estudio_V1.pdf". A2 lo distribuye.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Fase 6: Validación de Calidad. El proveedor entrega la Versión 1. Pero nuestro sistema no aprueba ciegamente.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(Conflicto):</w:t>
            </w:r>
            <w:r w:rsidDel="00000000" w:rsidR="00000000" w:rsidRPr="00000000">
              <w:rPr>
                <w:color w:val="1b1c1d"/>
                <w:rtl w:val="0"/>
              </w:rPr>
              <w:t xml:space="preserve"> El Dashboard muestra "CONFLICTO DETECTADO". Los avatares A1, A3 y A5 muestran iconos de alerta (Rojos/Amarillos).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Los agentes detectaron brechas críticas que ponían en riesgo el valor del proyecto.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(SFX: Alerta de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(Hallazgos):</w:t>
            </w:r>
            <w:r w:rsidDel="00000000" w:rsidR="00000000" w:rsidRPr="00000000">
              <w:rPr>
                <w:color w:val="1b1c1d"/>
                <w:rtl w:val="0"/>
              </w:rPr>
              <w:t xml:space="preserve"> Texto en pantalla limpio y rápido resumiendo los hallazgos.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VOZ A1-MARÍA:</w:t>
            </w:r>
            <w:r w:rsidDel="00000000" w:rsidR="00000000" w:rsidRPr="00000000">
              <w:rPr>
                <w:color w:val="1b1c1d"/>
                <w:rtl w:val="0"/>
              </w:rPr>
              <w:t xml:space="preserve"> "Rechazado. Falta foco en segmento Premium."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VOZ A5-ROBERTO:</w:t>
            </w:r>
            <w:r w:rsidDel="00000000" w:rsidR="00000000" w:rsidRPr="00000000">
              <w:rPr>
                <w:color w:val="1b1c1d"/>
                <w:rtl w:val="0"/>
              </w:rPr>
              <w:t xml:space="preserve"> "Condicional. Se requieren modelos financieros dinámicos."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VOZ A3-LAURA:</w:t>
            </w:r>
            <w:r w:rsidDel="00000000" w:rsidR="00000000" w:rsidRPr="00000000">
              <w:rPr>
                <w:color w:val="1b1c1d"/>
                <w:rtl w:val="0"/>
              </w:rPr>
              <w:t xml:space="preserve"> "Condicional. Falta análisis de impacto NTC 2025."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(Iteración):</w:t>
            </w:r>
            <w:r w:rsidDel="00000000" w:rsidR="00000000" w:rsidRPr="00000000">
              <w:rPr>
                <w:color w:val="1b1c1d"/>
                <w:rtl w:val="0"/>
              </w:rPr>
              <w:t xml:space="preserve"> Visualización de un ciclo iterativo. A2 genera "Consolidado_C1.pdf" y lo envía de vuelta. Se repite 3 veces (C1, C2, C3).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El sistema protege nuestra inversión. Como PMO, orquesté tres ciclos de revisión iterativa. No aceptamos entregables deficientes.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Se muestra la V1 transformándose en la V1.2 (mejorada).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Forzamos al proveedor a elevar la calidad del estudio hasta cumplir nuestros estándares exactos, maximizando el ROI.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(FASES 7 y 8: CIERRE SEGURO)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(Fase 7):</w:t>
            </w:r>
            <w:r w:rsidDel="00000000" w:rsidR="00000000" w:rsidRPr="00000000">
              <w:rPr>
                <w:color w:val="1b1c1d"/>
                <w:rtl w:val="0"/>
              </w:rPr>
              <w:t xml:space="preserve"> Estado "FASE 7: AUDITORÍA FINAL". A2 compila el "Defense File". A3 y A4 lo revisan.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Fase 7: Auditoría Final. Con la versión mejorada aceptada, Fiscal y Legal auditan el Expediente de Defensa Fiscal completo.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(VBC):</w:t>
            </w:r>
            <w:r w:rsidDel="00000000" w:rsidR="00000000" w:rsidRPr="00000000">
              <w:rPr>
                <w:color w:val="1b1c1d"/>
                <w:rtl w:val="0"/>
              </w:rPr>
              <w:t xml:space="preserve"> Emiten un documento digital: "Visto Bueno de Cumplimiento (VBC)". Se sella digitalmente.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Y emiten el Visto Bueno de Cumplimiento, o VBC.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03:55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PANTALLA (Fase 8):</w:t>
            </w:r>
            <w:r w:rsidDel="00000000" w:rsidR="00000000" w:rsidRPr="00000000">
              <w:rPr>
                <w:color w:val="1b1c1d"/>
                <w:rtl w:val="0"/>
              </w:rPr>
              <w:t xml:space="preserve"> Estado "FASE 8: PAGO". Zoom al Avatar A5-Finanzas (Roberto).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Fase 8: Pago Seguro. Roberto (Finanzas) ejecuta el proceso final.</w:t>
            </w:r>
          </w:p>
        </w:tc>
      </w:tr>
      <w:tr>
        <w:trPr>
          <w:cantSplit w:val="0"/>
          <w:trHeight w:val="27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 (3-Way Match):</w:t>
            </w:r>
            <w:r w:rsidDel="00000000" w:rsidR="00000000" w:rsidRPr="00000000">
              <w:rPr>
                <w:color w:val="1b1c1d"/>
                <w:rtl w:val="0"/>
              </w:rPr>
              <w:t xml:space="preserve"> Animación clara del "3-Way Match". Tres documentos flotan y se alinean: 1. Orden de Compra (PO), 2. Acta de Recepción, 3. Visto Bueno (VBC). Al alinearse, se iluminan en verde.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El 3-Way Match automático. El sistema verifica que la Orden de Compra, el Acta de Recepción firmada y el Visto Bueno de Cumplimiento coincidan perfectamente.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Si coinciden, una animación de "PAGO LIBERADO" aparece y el dinero se transfiere en el ERP.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(SFX):</w:t>
            </w:r>
            <w:r w:rsidDel="00000000" w:rsidR="00000000" w:rsidRPr="00000000">
              <w:rPr>
                <w:color w:val="1b1c1d"/>
                <w:rtl w:val="0"/>
              </w:rPr>
              <w:t xml:space="preserve"> Confirmación de transferencia.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Solo entonces, el sistema RPA libera el pago en el ERP. Trazabilidad financiera total.</w:t>
            </w:r>
          </w:p>
        </w:tc>
      </w:tr>
    </w:tbl>
    <w:p w:rsidR="00000000" w:rsidDel="00000000" w:rsidP="00000000" w:rsidRDefault="00000000" w:rsidRPr="00000000" w14:paraId="00000096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(ESCENA 7: MANEJANDO LA SUBJETIVIDAD (CONSULTORÍA Y CREATIVIDAD))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3450"/>
        <w:gridCol w:w="4020"/>
        <w:tblGridChange w:id="0">
          <w:tblGrid>
            <w:gridCol w:w="1305"/>
            <w:gridCol w:w="3450"/>
            <w:gridCol w:w="40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VIDEO (Visuales y Dirección de Cámara)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AUDIO (Música, VO, SFX)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Transición a un estilo visual más creativo. Iconos de Marketing Digital, Diseño Gráfico, Consultoría Estratégica.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(Música):</w:t>
            </w:r>
            <w:r w:rsidDel="00000000" w:rsidR="00000000" w:rsidRPr="00000000">
              <w:rPr>
                <w:color w:val="1b1c1d"/>
                <w:rtl w:val="0"/>
              </w:rPr>
              <w:t xml:space="preserve"> Cambia ligeramente a un tono más inspirador.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Quizás piensen: "¿Esto funciona para estudios técnicos, pero qué pasa con servicios subjetivos como Marketing o Consultoría Creativa?"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Se muestra un SOW muy detallado para una campaña de marketing. Resaltando KPIs y entregables específicos.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El sistema aplica con el mismo rigor. Obliga a definir alcances (SOW) precisos, incluso en áreas artísticas.</w:t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Montaje rápido de evidencia creativa: Iteraciones de diseño gráfico (borrador 1, 2, final), Reportes de Google Analytics, Minutas de estrategia de marca. La RPA los captura.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Y captura la evidencia del proceso creativo: las iteraciones de diseño, los reportes de analytics, las minutas de estrategia.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El Pilar 3 (Materialidad) se aplica sobre la evidencia creativa.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La Materialidad no distingue entre código y creatividad. El rigor del proceso </w:t>
            </w:r>
            <w:r w:rsidDel="00000000" w:rsidR="00000000" w:rsidRPr="00000000">
              <w:rPr>
                <w:i w:val="1"/>
                <w:iCs w:val="1"/>
                <w:color w:val="1b1c1d"/>
                <w:rtl w:val="0"/>
              </w:rPr>
              <w:t xml:space="preserve">es</w:t>
            </w:r>
            <w:r w:rsidDel="00000000" w:rsidR="00000000" w:rsidRPr="00000000">
              <w:rPr>
                <w:color w:val="1b1c1d"/>
                <w:rtl w:val="0"/>
              </w:rPr>
              <w:t xml:space="preserve"> la prueba de la sustancia económica.</w:t>
            </w:r>
          </w:p>
        </w:tc>
      </w:tr>
    </w:tbl>
    <w:p w:rsidR="00000000" w:rsidDel="00000000" w:rsidP="00000000" w:rsidRDefault="00000000" w:rsidRPr="00000000" w14:paraId="000000A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(ESCENA 8: CONCLUSIÓN - LA VENTAJA FORTEZZA)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4245"/>
        <w:gridCol w:w="3225"/>
        <w:tblGridChange w:id="0">
          <w:tblGrid>
            <w:gridCol w:w="1305"/>
            <w:gridCol w:w="4245"/>
            <w:gridCol w:w="32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VIDEO (Visuales y Dirección de Cámara)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AUDIO (Música, VO, SFX)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04:58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Se muestra el diagrama completo de la Arquitectura de Gobernanza Cognitiva (la red neuronal con los 6 agentes).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(Música):</w:t>
            </w:r>
            <w:r w:rsidDel="00000000" w:rsidR="00000000" w:rsidRPr="00000000">
              <w:rPr>
                <w:color w:val="1b1c1d"/>
                <w:rtl w:val="0"/>
              </w:rPr>
              <w:t xml:space="preserve"> Regresa al tema principal, crescendo final.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La Arquitectura de Gobernanza Cognitiva no es solo automatización. Es un escudo protector y un acelerador estratégico.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05:08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CÁMARA:</w:t>
            </w:r>
            <w:r w:rsidDel="00000000" w:rsidR="00000000" w:rsidRPr="00000000">
              <w:rPr>
                <w:color w:val="1b1c1d"/>
                <w:rtl w:val="0"/>
              </w:rPr>
              <w:t xml:space="preserve"> Transición a las tomas de drone cinemáticas de los edificios de Fortezza (del inicio). Gráficos mostrando ROI incrementando y Riesgo disminuyendo.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Garantiza que cada peso invertido genere valor real y elimina el riesgo fiscal mediante una trazabilidad algorítmica irrefutable.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05:18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MGX:</w:t>
            </w:r>
            <w:r w:rsidDel="00000000" w:rsidR="00000000" w:rsidRPr="00000000">
              <w:rPr>
                <w:color w:val="1b1c1d"/>
                <w:rtl w:val="0"/>
              </w:rPr>
              <w:t xml:space="preserve"> El logotipo de Grupo Fortezza aparece centrado. Slogan debajo: "Inteligencia en Construcción". </w:t>
            </w: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(SUPER):</w:t>
            </w:r>
            <w:r w:rsidDel="00000000" w:rsidR="00000000" w:rsidRPr="00000000">
              <w:rPr>
                <w:color w:val="1b1c1d"/>
                <w:rtl w:val="0"/>
              </w:rPr>
              <w:t xml:space="preserve">"Compliant by Design".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(VO Carlos):</w:t>
            </w:r>
            <w:r w:rsidDel="00000000" w:rsidR="00000000" w:rsidRPr="00000000">
              <w:rPr>
                <w:color w:val="1b1c1d"/>
                <w:rtl w:val="0"/>
              </w:rPr>
              <w:t xml:space="preserve"> Esto es Fortezza 4.0. Compliant by Design.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05:25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Corte a negro.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(Música termina con impacto)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