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cr1j1wat3i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Transformación Estratégica y Gobernanza Cognitiva de Grupo Fortezza (2026)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Fecha: 29 de Octubre de 2025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Para: Propiedad y Dirección General de Grupo Fortezza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jdh4f66lt2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Resumen Ejecutivo: La Visión de Fortezza 4.0</w:t>
      </w:r>
    </w:p>
    <w:p w:rsidR="00000000" w:rsidDel="00000000" w:rsidP="00000000" w:rsidRDefault="00000000" w:rsidRPr="00000000" w14:paraId="0000000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Grupo Fortezza se encuentra en un punto de inflexión. Ante un entorno de mercado paradójico —alta demanda por </w:t>
      </w:r>
      <w:r w:rsidDel="00000000" w:rsidR="00000000" w:rsidRPr="00000000">
        <w:rPr>
          <w:i w:val="1"/>
          <w:iCs w:val="1"/>
          <w:rtl w:val="0"/>
        </w:rPr>
        <w:t xml:space="preserve">Nearshoring</w:t>
      </w:r>
      <w:r w:rsidDel="00000000" w:rsidR="00000000" w:rsidRPr="00000000">
        <w:rPr>
          <w:rtl w:val="0"/>
        </w:rPr>
        <w:t xml:space="preserve"> versus inflación y escasez de talento— la estrategia tradicional es insuficiente. Para asegurar el liderazgo en el segmento </w:t>
      </w:r>
      <w:r w:rsidDel="00000000" w:rsidR="00000000" w:rsidRPr="00000000">
        <w:rPr>
          <w:i w:val="1"/>
          <w:i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, Fortezza está ejecutando una transformación radical.</w:t>
      </w:r>
    </w:p>
    <w:p w:rsidR="00000000" w:rsidDel="00000000" w:rsidP="00000000" w:rsidRDefault="00000000" w:rsidRPr="00000000" w14:paraId="0000000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Plan Maestro no es una simple lista de objetivos. Es la implementación de un nuevo sistema operativo empresarial. Hemos diseñado una "Meta-Estrategia": una inversión masiva en inteligencia de negocio (20+ proyectos de investigación) antes de la ejecución física.</w:t>
      </w:r>
    </w:p>
    <w:p w:rsidR="00000000" w:rsidDel="00000000" w:rsidP="00000000" w:rsidRDefault="00000000" w:rsidRPr="00000000" w14:paraId="0000000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Para gestionar esta complejidad, asegurar el rigor fiscal y acelerar la ejecución, hemos desarrollado la </w:t>
      </w:r>
      <w:r w:rsidDel="00000000" w:rsidR="00000000" w:rsidRPr="00000000">
        <w:rPr>
          <w:b w:val="1"/>
          <w:bCs w:val="1"/>
          <w:rtl w:val="0"/>
        </w:rPr>
        <w:t xml:space="preserve">Arquitectura de Gobernanza Cognitiva</w:t>
      </w:r>
      <w:r w:rsidDel="00000000" w:rsidR="00000000" w:rsidRPr="00000000">
        <w:rPr>
          <w:rtl w:val="0"/>
        </w:rPr>
        <w:t xml:space="preserve">. Un sistema pionero basado en Agentes de IA especializados (Claude Skills) y RPA que automatiza la supervisión, valida el cumplimiento fiscal (Materialidad y Razón de Negocios) y garantiza una trazabilidad algorítmica irrefutable. Fortezza está evolucionando hacia una organización inteligente, ágil y </w:t>
      </w:r>
      <w:r w:rsidDel="00000000" w:rsidR="00000000" w:rsidRPr="00000000">
        <w:rPr>
          <w:i w:val="1"/>
          <w:iCs w:val="1"/>
          <w:rtl w:val="0"/>
        </w:rPr>
        <w:t xml:space="preserve">compliant</w:t>
      </w:r>
      <w:r w:rsidDel="00000000" w:rsidR="00000000" w:rsidRPr="00000000">
        <w:rPr>
          <w:rtl w:val="0"/>
        </w:rPr>
        <w:t xml:space="preserve"> por diseño.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o3kv3rug0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El Diagnóstico Estratégico: La Fundación</w:t>
      </w:r>
    </w:p>
    <w:p w:rsidR="00000000" w:rsidDel="00000000" w:rsidP="00000000" w:rsidRDefault="00000000" w:rsidRPr="00000000" w14:paraId="0000000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análisis inicial reveló un panorama claro de desafíos y oportunidades:</w:t>
      </w:r>
    </w:p>
    <w:p w:rsidR="00000000" w:rsidDel="00000000" w:rsidP="00000000" w:rsidRDefault="00000000" w:rsidRPr="00000000" w14:paraId="0000000D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El Entorno (La Paradoja):</w:t>
      </w:r>
      <w:r w:rsidDel="00000000" w:rsidR="00000000" w:rsidRPr="00000000">
        <w:rPr>
          <w:rtl w:val="0"/>
        </w:rPr>
        <w:t xml:space="preserve"> El sector enfrenta una "tormenta perfecta": demanda sin precedentes (</w:t>
      </w:r>
      <w:r w:rsidDel="00000000" w:rsidR="00000000" w:rsidRPr="00000000">
        <w:rPr>
          <w:i w:val="1"/>
          <w:iCs w:val="1"/>
          <w:rtl w:val="0"/>
        </w:rPr>
        <w:t xml:space="preserve">Nearshoring</w:t>
      </w:r>
      <w:r w:rsidDel="00000000" w:rsidR="00000000" w:rsidRPr="00000000">
        <w:rPr>
          <w:rtl w:val="0"/>
        </w:rPr>
        <w:t xml:space="preserve">) que choca con restricciones sistémicas (escasez estructural de mano de obra, inflación de costos, baja productividad y déficits de infraestructura en NL).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Grupo Fortezza (La Posición):</w:t>
      </w:r>
      <w:r w:rsidDel="00000000" w:rsidR="00000000" w:rsidRPr="00000000">
        <w:rPr>
          <w:rtl w:val="0"/>
        </w:rPr>
        <w:t xml:space="preserve"> Un jugador clave en el segmento </w:t>
      </w:r>
      <w:r w:rsidDel="00000000" w:rsidR="00000000" w:rsidRPr="00000000">
        <w:rPr>
          <w:i w:val="1"/>
          <w:i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con una fortaleza única: un modelo de integración vertical robusto y un legado de 30+ años. Sin embargo, requiere modernizar su adopción tecnológica (BIM/ERP) y formalización de procesos para competir con "Gigantes de Legado".</w:t>
      </w:r>
    </w:p>
    <w:p w:rsidR="00000000" w:rsidDel="00000000" w:rsidP="00000000" w:rsidRDefault="00000000" w:rsidRPr="00000000" w14:paraId="0000000F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Imperativos Estratégicos (Las Prioridades):</w:t>
      </w:r>
      <w:r w:rsidDel="00000000" w:rsidR="00000000" w:rsidRPr="00000000">
        <w:rPr>
          <w:rtl w:val="0"/>
        </w:rPr>
        <w:t xml:space="preserve"> El éxito depende de: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Transformación Digital Urgente (BIM, ERP).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Gestión Estratégica del Talento (Crítico).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Eficiencia Operativa (Lean Construction).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Sostenibilidad (ESG) como diferenciador.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0bguy7vae2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huac274mh4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III. La Meta-Estrategia: El Plan Maestro de Investigación</w:t>
      </w:r>
    </w:p>
    <w:p w:rsidR="00000000" w:rsidDel="00000000" w:rsidP="00000000" w:rsidRDefault="00000000" w:rsidRPr="00000000" w14:paraId="0000001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Basado en el diagnóstico, se tomó una decisión fundamental: </w:t>
      </w:r>
      <w:r w:rsidDel="00000000" w:rsidR="00000000" w:rsidRPr="00000000">
        <w:rPr>
          <w:b w:val="1"/>
          <w:bCs w:val="1"/>
          <w:rtl w:val="0"/>
        </w:rPr>
        <w:t xml:space="preserve">Invertir en Inteligencia antes que en Ejecución</w:t>
      </w:r>
      <w:r w:rsidDel="00000000" w:rsidR="00000000" w:rsidRPr="00000000">
        <w:rPr>
          <w:rtl w:val="0"/>
        </w:rPr>
        <w:t xml:space="preserve">. Se definió un portafolio de más de 20 proyectos de investigación estratégica (activos intangibles).</w:t>
      </w:r>
    </w:p>
    <w:p w:rsidR="00000000" w:rsidDel="00000000" w:rsidP="00000000" w:rsidRDefault="00000000" w:rsidRPr="00000000" w14:paraId="00000018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Benchmark de Inversión:</w:t>
      </w:r>
      <w:r w:rsidDel="00000000" w:rsidR="00000000" w:rsidRPr="00000000">
        <w:rPr>
          <w:rtl w:val="0"/>
        </w:rPr>
        <w:t xml:space="preserve"> Se estableció un objetivo de inversión alineado con líderes de la industria: entre el </w:t>
      </w:r>
      <w:r w:rsidDel="00000000" w:rsidR="00000000" w:rsidRPr="00000000">
        <w:rPr>
          <w:b w:val="1"/>
          <w:bCs w:val="1"/>
          <w:rtl w:val="0"/>
        </w:rPr>
        <w:t xml:space="preserve">4.3% y el 7.0% de los ingresos anuales</w:t>
      </w:r>
      <w:r w:rsidDel="00000000" w:rsidR="00000000" w:rsidRPr="00000000">
        <w:rPr>
          <w:rtl w:val="0"/>
        </w:rPr>
        <w:t xml:space="preserve"> destinados a este portafolio de inteligencia.</w:t>
      </w:r>
    </w:p>
    <w:p w:rsidR="00000000" w:rsidDel="00000000" w:rsidP="00000000" w:rsidRDefault="00000000" w:rsidRPr="00000000" w14:paraId="00000019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Priorización del Portafolio (Asignación Presupuestaria):</w:t>
      </w:r>
      <w:r w:rsidDel="00000000" w:rsidR="00000000" w:rsidRPr="00000000">
        <w:rPr>
          <w:rtl w:val="0"/>
        </w:rPr>
        <w:t xml:space="preserve"> El presupuesto se asignó priorizando las áreas de mayor impacto transformacional, incluyendo áreas críticas añadidas como Estrategia de Talento, ESG y Gestión del Cambio.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544237880808"/>
        <w:gridCol w:w="4546.397323337777"/>
        <w:gridCol w:w="2412.5702498050364"/>
        <w:tblGridChange w:id="0">
          <w:tblGrid>
            <w:gridCol w:w="2066.544237880808"/>
            <w:gridCol w:w="4546.397323337777"/>
            <w:gridCol w:w="2412.5702498050364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Estratégica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Asignación Presupuestaria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y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Transformación Digital (BIM/ERP), Excelencia Operativa (Lean), Optimización Cadena de Suministro.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y 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Estrategia Integral de Talento, Gestión del Cambio.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y Crecimiento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Macroeconómico, Inteligencia Competitiva, M&amp;A, Expansión.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Comercial y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Tendencias de Consumo, CX Omnicanal, Estrategia de Precios, Digital.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Finanzas y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Optimización Estructura de Capital, Gobernanza de Viabilidad, BCP, ESG.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t3hndmsvog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IV. El Imperativo Fiscal y Legal: Cumplimiento por Diseño</w:t>
      </w:r>
    </w:p>
    <w:p w:rsidR="00000000" w:rsidDel="00000000" w:rsidP="00000000" w:rsidRDefault="00000000" w:rsidRPr="00000000" w14:paraId="0000003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Dada la magnitud de la inversión en servicios intangibles, es crucial asegurar su plena deducibilidad fiscal y solidez legal. Se diseñó un marco de cumplimiento riguroso basado en los requisitos de la autoridad fiscal mexicana (SAT):</w:t>
      </w:r>
    </w:p>
    <w:p w:rsidR="00000000" w:rsidDel="00000000" w:rsidP="00000000" w:rsidRDefault="00000000" w:rsidRPr="00000000" w14:paraId="00000032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Estricta Indispensabilidad (Art. 27 LISR):</w:t>
      </w:r>
      <w:r w:rsidDel="00000000" w:rsidR="00000000" w:rsidRPr="00000000">
        <w:rPr>
          <w:rtl w:val="0"/>
        </w:rPr>
        <w:t xml:space="preserve"> Cada proyecto debe ser necesario para la operación y competitividad.</w:t>
      </w:r>
    </w:p>
    <w:p w:rsidR="00000000" w:rsidDel="00000000" w:rsidP="00000000" w:rsidRDefault="00000000" w:rsidRPr="00000000" w14:paraId="00000033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Razón de Negocios (Art. 5-A CFF):</w:t>
      </w:r>
      <w:r w:rsidDel="00000000" w:rsidR="00000000" w:rsidRPr="00000000">
        <w:rPr>
          <w:rtl w:val="0"/>
        </w:rPr>
        <w:t xml:space="preserve"> La motivación principal debe ser económica. Se implementó el </w:t>
      </w:r>
      <w:r w:rsidDel="00000000" w:rsidR="00000000" w:rsidRPr="00000000">
        <w:rPr>
          <w:b w:val="1"/>
          <w:bCs w:val="1"/>
          <w:rtl w:val="0"/>
        </w:rPr>
        <w:t xml:space="preserve">Strategic Initiative Brief (SIB)</w:t>
      </w:r>
      <w:r w:rsidDel="00000000" w:rsidR="00000000" w:rsidRPr="00000000">
        <w:rPr>
          <w:rtl w:val="0"/>
        </w:rPr>
        <w:t xml:space="preserve"> para documentar el </w:t>
      </w:r>
      <w:r w:rsidDel="00000000" w:rsidR="00000000" w:rsidRPr="00000000">
        <w:rPr>
          <w:b w:val="1"/>
          <w:bCs w:val="1"/>
          <w:rtl w:val="0"/>
        </w:rPr>
        <w:t xml:space="preserve">Beneficio Económico Esperado (BEE)</w:t>
      </w:r>
      <w:r w:rsidDel="00000000" w:rsidR="00000000" w:rsidRPr="00000000">
        <w:rPr>
          <w:rtl w:val="0"/>
        </w:rPr>
        <w:t xml:space="preserve">, que debe ser superior al beneficio fiscal.</w:t>
      </w:r>
    </w:p>
    <w:p w:rsidR="00000000" w:rsidDel="00000000" w:rsidP="00000000" w:rsidRDefault="00000000" w:rsidRPr="00000000" w14:paraId="00000034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Materialidad (Art. 69-B CFF):</w:t>
      </w:r>
      <w:r w:rsidDel="00000000" w:rsidR="00000000" w:rsidRPr="00000000">
        <w:rPr>
          <w:rtl w:val="0"/>
        </w:rPr>
        <w:t xml:space="preserve"> Se debe probar la existencia real del servicio mediante evidencia tangible del proceso (logs, minutas, borradores) y entregables verificables.</w:t>
      </w:r>
    </w:p>
    <w:p w:rsidR="00000000" w:rsidDel="00000000" w:rsidP="00000000" w:rsidRDefault="00000000" w:rsidRPr="00000000" w14:paraId="00000035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Trazabilidad y Fecha Cierta:</w:t>
      </w:r>
      <w:r w:rsidDel="00000000" w:rsidR="00000000" w:rsidRPr="00000000">
        <w:rPr>
          <w:rtl w:val="0"/>
        </w:rPr>
        <w:t xml:space="preserve"> Se requiere una cadena de custodia documental completa y la obtención de "Fecha Cierta" (Sellos Digitales NOM-151) para todos los contratos.</w:t>
      </w:r>
    </w:p>
    <w:p w:rsidR="00000000" w:rsidDel="00000000" w:rsidP="00000000" w:rsidRDefault="00000000" w:rsidRPr="00000000" w14:paraId="00000036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 Expediente de Defensa Fiscal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Defense File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estableció como el repositorio central obligatorio para toda la evidencia del ciclo de vida del proyecto.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fh1un2xfw1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V. La Innovación: La Arquitectura de Gobernanza Cognitiva</w:t>
      </w:r>
    </w:p>
    <w:p w:rsidR="00000000" w:rsidDel="00000000" w:rsidP="00000000" w:rsidRDefault="00000000" w:rsidRPr="00000000" w14:paraId="0000003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Para gestionar 20+ proyectos simultáneamente, asegurar el cumplimiento del marco fiscal y acelerar la ejecución, se diseñó la </w:t>
      </w:r>
      <w:r w:rsidDel="00000000" w:rsidR="00000000" w:rsidRPr="00000000">
        <w:rPr>
          <w:b w:val="1"/>
          <w:bCs w:val="1"/>
          <w:rtl w:val="0"/>
        </w:rPr>
        <w:t xml:space="preserve">Arquitectura de Gobernanza Cognitiva</w:t>
      </w:r>
      <w:r w:rsidDel="00000000" w:rsidR="00000000" w:rsidRPr="00000000">
        <w:rPr>
          <w:rtl w:val="0"/>
        </w:rPr>
        <w:t xml:space="preserve">. Un sistema multi-agente basado en IA (Claude Skills) y RPA.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1. El Ecosistema de Agentes Especializados: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 configuraron 6 Agentes de IA, cada uno con conocimiento experto y acceso a documentación específica de la empresa (Bases de Conocimiento Documentales):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A1-Sponsor (María):</w:t>
      </w:r>
      <w:r w:rsidDel="00000000" w:rsidR="00000000" w:rsidRPr="00000000">
        <w:rPr>
          <w:rtl w:val="0"/>
        </w:rPr>
        <w:t xml:space="preserve"> Validador Estratégico (BEE y Alineación).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A2-PMO (Carlos):</w:t>
      </w:r>
      <w:r w:rsidDel="00000000" w:rsidR="00000000" w:rsidRPr="00000000">
        <w:rPr>
          <w:rtl w:val="0"/>
        </w:rPr>
        <w:t xml:space="preserve"> Guardián del Proceso y Orquestador Central (POE).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A3-Fiscal (Laura):</w:t>
      </w:r>
      <w:r w:rsidDel="00000000" w:rsidR="00000000" w:rsidRPr="00000000">
        <w:rPr>
          <w:rtl w:val="0"/>
        </w:rPr>
        <w:t xml:space="preserve"> Motor de Cumplimiento (Razón de Negocios y Materialidad).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A4-Legal (Gestor IA):</w:t>
      </w:r>
      <w:r w:rsidDel="00000000" w:rsidR="00000000" w:rsidRPr="00000000">
        <w:rPr>
          <w:rtl w:val="0"/>
        </w:rPr>
        <w:t xml:space="preserve"> Validador Contractual (SOW y Fecha Cierta).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A5-Finanzas (Roberto):</w:t>
      </w:r>
      <w:r w:rsidDel="00000000" w:rsidR="00000000" w:rsidRPr="00000000">
        <w:rPr>
          <w:rtl w:val="0"/>
        </w:rPr>
        <w:t xml:space="preserve"> Controlador Financiero (Presupuesto y 3-Way Match).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A6-Proveedor (Ana):</w:t>
      </w:r>
      <w:r w:rsidDel="00000000" w:rsidR="00000000" w:rsidRPr="00000000">
        <w:rPr>
          <w:rtl w:val="0"/>
        </w:rPr>
        <w:t xml:space="preserve"> Ejecutor del Servicio (Generador de Entregables y Logs).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2. Trazabilidad Algorítmica y Flujo Orquestado: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sistema opera mediante una Máquina de Estados gestionada por A2-PMO. Esto asegura la revisión secuencial, el análisis cruzado de documentos y la resolución iterativa de conflictos entre agentes, generando una huella digital inmutable (logs) para auditabilidad total.</w:t>
      </w:r>
    </w:p>
    <w:p w:rsidR="00000000" w:rsidDel="00000000" w:rsidP="00000000" w:rsidRDefault="00000000" w:rsidRPr="00000000" w14:paraId="00000044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(Interacción Iterativa):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Fragmento de código</w:t>
      </w:r>
    </w:p>
    <w:p w:rsidR="00000000" w:rsidDel="00000000" w:rsidP="00000000" w:rsidRDefault="00000000" w:rsidRPr="00000000" w14:paraId="0000004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(Carlos)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A1-Sponsor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(María)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A3-Fiscal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A5-Finanzas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(Roberto)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VALIDACION_PARALELA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Diagnósticos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A1--&gt;&gt;A2: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Reporte_A1_V1.pdf)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[Ej.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A3--&gt;&gt;A2: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Reporte_A3_V1.pdf)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[Ej.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A5--&gt;&gt;A2: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Reporte_A5_V1.pdf)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[Ej.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CONSOLIDACION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REVISION_ITERATIVA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Reporte_Consolidado_C1.pdf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Consolidado_C1.pdf)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Consolidado_C1.pdf)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Consolidado_C1.pdf)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A1--&gt;&gt;A2: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Reporte_A1_V2.pdf)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[Ej.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Ajustes]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CONSOLIDACION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A2-&gt;&gt;A2: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Alcanzado.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APROBADO_F0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2faklaa6kc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VI. El Blueprint de Ejecución: El POE de 9 Fases</w:t>
      </w:r>
    </w:p>
    <w:p w:rsidR="00000000" w:rsidDel="00000000" w:rsidP="00000000" w:rsidRDefault="00000000" w:rsidRPr="00000000" w14:paraId="0000006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 desarrolló un Procedimiento Operativo Estándar (POE) detallado de 9 Fases, que integra las acciones humanas, la orquestación RPA y la validación de los Agentes IA.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6.886633940632"/>
        <w:gridCol w:w="2355.507528086186"/>
        <w:gridCol w:w="2695.3803577900044"/>
        <w:gridCol w:w="3077.7372912068004"/>
        <w:tblGridChange w:id="0">
          <w:tblGrid>
            <w:gridCol w:w="896.886633940632"/>
            <w:gridCol w:w="2355.507528086186"/>
            <w:gridCol w:w="2695.3803577900044"/>
            <w:gridCol w:w="3077.737291206800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Fiscal Generada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Aprobación Estratégica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y aprobar el BEE.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Razón de Negocios (SIB, Acta Digital).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 y Contratación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Formalización Legal y Financiera.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Formalidad (Contrato, SOW, Fecha Cierta).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y Ajustes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del servicio y control de cambios.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Materialidad en Proceso (Logs, Minutas, Borradores).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 y Aprobación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técnica y aceptación formal.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Materialidad Final (Entregables, Acta de Recepción).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Cumplimiento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 interna Fiscal y Legal.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Visto Bueno de Cumplimiento (VBC).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 del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3-Way Match y liquidación.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Comprobantes Fiscales (CFDI, SPEI).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Post-Implementación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Medición del impacto real.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Trazabilidad Posterior (Validación del BEE).</w:t>
            </w:r>
          </w:p>
        </w:tc>
      </w:tr>
    </w:tbl>
    <w:p w:rsidR="00000000" w:rsidDel="00000000" w:rsidP="00000000" w:rsidRDefault="00000000" w:rsidRPr="00000000" w14:paraId="00000088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Flujo de Trabajo Detallado (Diagrama de Ingeniería BPMN):</w:t>
      </w:r>
    </w:p>
    <w:p w:rsidR="00000000" w:rsidDel="00000000" w:rsidP="00000000" w:rsidRDefault="00000000" w:rsidRPr="00000000" w14:paraId="0000008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diagrama muestra la interacción exacta y la lógica de decisión automatizada desde la recepción del SIB hasta el pago y la medición de impacto posterior.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Fragmento de código</w:t>
      </w:r>
    </w:p>
    <w:p w:rsidR="00000000" w:rsidDel="00000000" w:rsidP="00000000" w:rsidRDefault="00000000" w:rsidRPr="00000000" w14:paraId="0000008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Leyenda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H(Acción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R(Acción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A(Acción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D{Decisión}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S[(Base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Datos/Sistema)]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fill:#A8D1E7,stroke:#333,stroke-width:2px;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fill:#D3D3D3,stroke:#333,stroke-width:2px,color:#000;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fill:#B19CD9,stroke:#333,stroke-width:2px,color:#000;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fill:#FFD700,stroke:#333,stroke-width:2px;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fill:#90EE90,stroke:#333,stroke-width:2px;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interpolate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START([Inicio: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Recibido])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ESTRATÉGICA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A1(A1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A3(A3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Razón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Negocios)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A2(A2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D1{¿SIB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Válido?}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Ajustes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Requeridos)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R4(RPA: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H1(Dirección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D2{¿Aprobado?}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R5(RPA: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A2B(A2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SIB/Email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FORMALIZACIÓN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FINANCIERA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Formalización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H2(Compras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R6(RPA: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A5(A5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A4(A4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R7(RPA: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H3(Firma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Fortezza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R8(RPA: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A4B(A4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A2C(A2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EXE(Ejecución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R9(RPA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A3B(A3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D3{¿Materialidad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Suficiente?}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R10(RPA: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Sponsor/PMO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Riesgo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CR_Event([Evento: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Cambio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A1B(A1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Analizar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H4(Sponsor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D4{¿CR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A4C(A4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Adenda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CUMPLIMIENTO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Cumplimiento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DELIV([Evento: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Recibida])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R11(RPA: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Entregable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A1C(A1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Técnica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SOW/SIB)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D5{¿Técnicamente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Válido?}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R12(RPA: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Ajustes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Requeridos)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A1D(A1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H5(Sponsor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Recepción)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A2D(A2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A3C(A3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Cumplimiento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D6{¿Cumplimiento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R13(RPA: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Legal/Fiscal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Intervención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Requerida)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A3D(A3/A4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Cumplimiento)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CIERRE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Cierre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R14(RPA: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A5B(A5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Automático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D7{¿Match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R15(RPA: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R16(RPA: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A2E(A2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DELAY([Time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6-12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Meses])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R17(RPA: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Rendimiento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ERP/BI)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A1E(A1/A5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Análisis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A3E(A3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Trazabilidad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A2F(A2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FLUJO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Cambios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Interrupción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CR_Event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CR_Event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END([Fin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Proceso])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H1,H2,H3,H4,H5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R1,R2,R3,R4,R5,R6,R7,R8,R9,R10,R11,R12,R13,R14,R15,R16,R17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A1,A3,A2,A5,A4,A4B,A2B,A2C,A3B,A1B,A4C,A1C,A1D,A2D,A3C,A3D,A5B,A2E,A1E,A3E,A2F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D1,D2,D3,D4,D5,D6,D7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3dz2hvzsxj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VII. Validación en la Práctica: Ejecución del Proyecto 1.1</w:t>
      </w:r>
    </w:p>
    <w:p w:rsidR="00000000" w:rsidDel="00000000" w:rsidP="00000000" w:rsidRDefault="00000000" w:rsidRPr="00000000" w14:paraId="0000013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sistema fue puesto a prueba y validado con la ejecución del primer proyecto: "1.1 Estudio Prospectivo Macroeconómico y Regulatorio 2026".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Proceso:</w:t>
      </w:r>
      <w:r w:rsidDel="00000000" w:rsidR="00000000" w:rsidRPr="00000000">
        <w:rPr>
          <w:rtl w:val="0"/>
        </w:rPr>
        <w:t xml:space="preserve"> El proyecto siguió el POE automatizado. Se generó el SIB (Fase 0), se contrató al proveedor (Fase 2) y se recibió el entregable V1 (Fase 5).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Validación Cognitiva (Fase 6):</w:t>
      </w:r>
      <w:r w:rsidDel="00000000" w:rsidR="00000000" w:rsidRPr="00000000">
        <w:rPr>
          <w:rtl w:val="0"/>
        </w:rPr>
        <w:t xml:space="preserve"> Los agentes A1, A3 y A5 analizaron la V1. Detectaron brechas y conflictos (Ej. A1 requería más foco en segmento Premium; A5 exigía modelos dinámicos; A3 solicitaba análisis de NTC 2025 y trazabilidad fiscal).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Revisión Iterativa:</w:t>
      </w:r>
      <w:r w:rsidDel="00000000" w:rsidR="00000000" w:rsidRPr="00000000">
        <w:rPr>
          <w:rtl w:val="0"/>
        </w:rPr>
        <w:t xml:space="preserve"> A2-PMO moderó </w:t>
      </w:r>
      <w:r w:rsidDel="00000000" w:rsidR="00000000" w:rsidRPr="00000000">
        <w:rPr>
          <w:b w:val="1"/>
          <w:bCs w:val="1"/>
          <w:rtl w:val="0"/>
        </w:rPr>
        <w:t xml:space="preserve">tres ciclos de revisión</w:t>
      </w:r>
      <w:r w:rsidDel="00000000" w:rsidR="00000000" w:rsidRPr="00000000">
        <w:rPr>
          <w:rtl w:val="0"/>
        </w:rPr>
        <w:t xml:space="preserve"> hasta alcanzar un consenso: "Aprobado con Condiciones". A2 comunicó los ajustes detallados al proveedor.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Resultado:</w:t>
      </w:r>
      <w:r w:rsidDel="00000000" w:rsidR="00000000" w:rsidRPr="00000000">
        <w:rPr>
          <w:rtl w:val="0"/>
        </w:rPr>
        <w:t xml:space="preserve"> El proveedor integró todos los ajustes, generando la </w:t>
      </w:r>
      <w:r w:rsidDel="00000000" w:rsidR="00000000" w:rsidRPr="00000000">
        <w:rPr>
          <w:b w:val="1"/>
          <w:bCs w:val="1"/>
          <w:rtl w:val="0"/>
        </w:rPr>
        <w:t xml:space="preserve">Versión Final 1.2</w:t>
      </w:r>
      <w:r w:rsidDel="00000000" w:rsidR="00000000" w:rsidRPr="00000000">
        <w:rPr>
          <w:rtl w:val="0"/>
        </w:rPr>
        <w:t xml:space="preserve"> (adjunta a este reporte integral). El sistema demostró no solo garantizar el cumplimiento, sino mejorar activamente la calidad y especificidad de los entregables estratégicos.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omj5du47dk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VIII. Conclusión y Próximos Pasos Inmediatos</w:t>
      </w:r>
    </w:p>
    <w:p w:rsidR="00000000" w:rsidDel="00000000" w:rsidP="00000000" w:rsidRDefault="00000000" w:rsidRPr="00000000" w14:paraId="0000014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diseño estratégico y operativo está completo y validado. Grupo Fortezza cuenta con un plan ambicioso, un marco de cumplimiento riguroso y un sistema de ejecución innovador.</w:t>
      </w:r>
    </w:p>
    <w:p w:rsidR="00000000" w:rsidDel="00000000" w:rsidP="00000000" w:rsidRDefault="00000000" w:rsidRPr="00000000" w14:paraId="00000147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Críticas Inmediatas: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Activación Completa:</w:t>
      </w:r>
      <w:r w:rsidDel="00000000" w:rsidR="00000000" w:rsidRPr="00000000">
        <w:rPr>
          <w:rtl w:val="0"/>
        </w:rPr>
        <w:t xml:space="preserve"> Finalizar la configuración técnica de los Agentes IA y los flujos de RPA.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Establecimiento de la PMO Humana:</w:t>
      </w:r>
      <w:r w:rsidDel="00000000" w:rsidR="00000000" w:rsidRPr="00000000">
        <w:rPr>
          <w:rtl w:val="0"/>
        </w:rPr>
        <w:t xml:space="preserve"> Designar al líder de la PMO que supervisará el sistema cognitivo.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Liberación del Presupuesto:</w:t>
      </w:r>
      <w:r w:rsidDel="00000000" w:rsidR="00000000" w:rsidRPr="00000000">
        <w:rPr>
          <w:rtl w:val="0"/>
        </w:rPr>
        <w:t xml:space="preserve"> Autorizar formalmente el presupuesto para el Portafolio 2026.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Ejecución del Portafolio:</w:t>
      </w:r>
      <w:r w:rsidDel="00000000" w:rsidR="00000000" w:rsidRPr="00000000">
        <w:rPr>
          <w:rtl w:val="0"/>
        </w:rPr>
        <w:t xml:space="preserve"> Continuar con la ejecución secuencial de los más de 19 proyectos restantes utilizando el sistema implementado.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