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REVISAR.IA</w:t>
      </w:r>
    </w:p>
    <w:p>
      <w:pPr>
        <w:jc w:val="center"/>
      </w:pPr>
      <w:r>
        <w:t>Empresa: {{EMPRESA_NOMBRE}}</w:t>
      </w:r>
    </w:p>
    <w:p>
      <w:pPr>
        <w:jc w:val="center"/>
      </w:pPr>
      <w:r>
        <w:rPr>
          <w:b/>
          <w:sz w:val="28"/>
        </w:rPr>
        <w:t>ANÁLISIS DE PANORAMA DE INDUSTRIA</w:t>
      </w:r>
    </w:p>
    <w:p/>
    <w:p>
      <w:r>
        <w:rPr>
          <w:b/>
          <w:sz w:val="24"/>
        </w:rPr>
        <w:t>CONTEXTO EMPRESARIAL</w:t>
      </w:r>
    </w:p>
    <w:p>
      <w:r>
        <w:t>Empresa: {{EMPRESA_NOMBRE}}</w:t>
      </w:r>
    </w:p>
    <w:p>
      <w:r>
        <w:t>Sector: {SECTOR_INDUSTRIA}</w:t>
      </w:r>
    </w:p>
    <w:p>
      <w:r>
        <w:t>Fecha de Análisis: {{FECHA_ACTUAL}}</w:t>
      </w:r>
    </w:p>
    <w:p/>
    <w:p>
      <w:r>
        <w:rPr>
          <w:b/>
          <w:sz w:val="24"/>
        </w:rPr>
        <w:t>CONTEXTO REGULATORIO MEXICANO</w:t>
      </w:r>
    </w:p>
    <w:p>
      <w:r>
        <w:t>El entorno fiscal mexicano ha endurecido su postura contra operaciones simuladas:</w:t>
      </w:r>
    </w:p>
    <w:p>
      <w:r>
        <w:t>• Artículo 69-B CFF: Presunción de operaciones inexistentes</w:t>
      </w:r>
    </w:p>
    <w:p>
      <w:r>
        <w:t>• Artículo 5-A CFF: Exigencia de razón de negocios</w:t>
      </w:r>
    </w:p>
    <w:p>
      <w:r>
        <w:t>• Reforma Fiscal 2020-2025: Mayor escrutinio a servicios intangibles</w:t>
      </w:r>
    </w:p>
    <w:p/>
    <w:p>
      <w:r>
        <w:rPr>
          <w:b/>
          <w:sz w:val="24"/>
        </w:rPr>
        <w:t>BENCHMARKS DEL SECTOR</w:t>
      </w:r>
    </w:p>
    <w:p>
      <w:r>
        <w:t>Prácticas de documentación fiscal en el sector:</w:t>
      </w:r>
    </w:p>
    <w:p>
      <w:r>
        <w:t>• 78% de empresas AAA mantienen expedientes de defensa preventivos</w:t>
      </w:r>
    </w:p>
    <w:p>
      <w:r>
        <w:t>• Tiempo promedio de preparación ante auditoría: 15-30 días</w:t>
      </w:r>
    </w:p>
    <w:p>
      <w:r>
        <w:t>• Costo promedio de defensa fiscal: 3-8% del monto cuestionado</w:t>
      </w:r>
    </w:p>
    <w:p/>
    <w:p>
      <w:r>
        <w:rPr>
          <w:b/>
          <w:sz w:val="24"/>
        </w:rPr>
        <w:t>RIESGOS IDENTIFICADOS</w:t>
      </w:r>
    </w:p>
    <w:p>
      <w:r>
        <w:t>• Servicios de consultoría sin entregables tangibles</w:t>
      </w:r>
    </w:p>
    <w:p>
      <w:r>
        <w:t>• Comisiones por intermediación sin soporte documental</w:t>
      </w:r>
    </w:p>
    <w:p>
      <w:r>
        <w:t>• Honorarios profesionales a personas morales relacionadas</w:t>
      </w:r>
    </w:p>
    <w:p/>
    <w:p>
      <w:pPr>
        <w:jc w:val="center"/>
      </w:pPr>
      <w:r>
        <w:rPr>
          <w:i/>
          <w:sz w:val="16"/>
        </w:rPr>
        <w:t>DOCUMENTO CONFIDENCIAL - {{EMPRESA_NOMBRE}} - {{FECHA_ACTUAL}}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