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VISIÓN Y PILARES ESTRATÉGICOS 2026-2030</w:t>
      </w:r>
    </w:p>
    <w:p/>
    <w:p>
      <w:r>
        <w:rPr>
          <w:b/>
          <w:sz w:val="24"/>
        </w:rPr>
        <w:t>DATOS DE LA EMPRESA</w:t>
      </w:r>
    </w:p>
    <w:p>
      <w:r>
        <w:t>Empresa: {{EMPRESA_NOMBRE}}</w:t>
      </w:r>
    </w:p>
    <w:p>
      <w:r>
        <w:t>RFC: {{EMPRESA_RFC}}</w:t>
      </w:r>
    </w:p>
    <w:p>
      <w:r>
        <w:t>Fecha de Elaboración: {{FECHA_ACTUAL}}</w:t>
      </w:r>
    </w:p>
    <w:p/>
    <w:p>
      <w:r>
        <w:rPr>
          <w:b/>
          <w:sz w:val="24"/>
        </w:rPr>
        <w:t>VISIÓN ESTRATÉGICA</w:t>
      </w:r>
    </w:p>
    <w:p>
      <w:r>
        <w:t>La visión estratégica de la empresa se fundamenta en los siguientes principios:</w:t>
      </w:r>
    </w:p>
    <w:p>
      <w:r>
        <w:t>• Cumplimiento fiscal integral conforme a la normativa mexicana vigente</w:t>
      </w:r>
    </w:p>
    <w:p>
      <w:r>
        <w:t>• Transparencia en todas las operaciones comerciales</w:t>
      </w:r>
    </w:p>
    <w:p>
      <w:r>
        <w:t>• Trazabilidad documental de servicios intangibles</w:t>
      </w:r>
    </w:p>
    <w:p>
      <w:r>
        <w:t>• Prevención de riesgos fiscales ante auditorías SAT</w:t>
      </w:r>
    </w:p>
    <w:p/>
    <w:p>
      <w:r>
        <w:rPr>
          <w:b/>
          <w:sz w:val="24"/>
        </w:rPr>
        <w:t>PILARES ESTRATÉGICOS</w:t>
      </w:r>
    </w:p>
    <w:p>
      <w:r>
        <w:t>PILAR 1: RAZÓN DE NEGOCIOS (Art. 5-A CFF)</w:t>
      </w:r>
    </w:p>
    <w:p>
      <w:r>
        <w:t>• Documentar el beneficio económico esperado de cada operación</w:t>
      </w:r>
    </w:p>
    <w:p>
      <w:r>
        <w:t>• Justificar la necesidad real del servicio contratado</w:t>
      </w:r>
    </w:p>
    <w:p/>
    <w:p>
      <w:r>
        <w:t>PILAR 2: MATERIALIDAD (Art. 69-B CFF)</w:t>
      </w:r>
    </w:p>
    <w:p>
      <w:r>
        <w:t>• Evidenciar la prestación efectiva de servicios</w:t>
      </w:r>
    </w:p>
    <w:p>
      <w:r>
        <w:t>• Mantener entregables tangibles y verificables</w:t>
      </w:r>
    </w:p>
    <w:p/>
    <w:p>
      <w:r>
        <w:t>PILAR 3: ESTRICTA INDISPENSABILIDAD (Art. 27 LISR)</w:t>
      </w:r>
    </w:p>
    <w:p>
      <w:r>
        <w:t>• Demostrar que cada gasto es indispensable para la actividad</w:t>
      </w:r>
    </w:p>
    <w:p>
      <w:r>
        <w:t>• Vincular gastos con generación de ingresos</w:t>
      </w:r>
    </w:p>
    <w:p/>
    <w:p>
      <w:r>
        <w:t>PILAR 4: TRAZABILIDAD DOCUMENTAL</w:t>
      </w:r>
    </w:p>
    <w:p>
      <w:r>
        <w:t>• Mantener expediente completo de cada operación</w:t>
      </w:r>
    </w:p>
    <w:p>
      <w:r>
        <w:t>• Asegurar cadena de custodia documental</w:t>
      </w:r>
    </w:p>
    <w:p/>
    <w:p>
      <w:r>
        <w:rPr>
          <w:b/>
          <w:sz w:val="24"/>
        </w:rPr>
        <w:t>OBJETIVOS ESTRATÉGICOS 2026</w:t>
      </w:r>
    </w:p>
    <w:p>
      <w:r>
        <w:t>Proyecto Actual: {{PROYECTO_NOMBRE}}</w:t>
      </w:r>
    </w:p>
    <w:p>
      <w:r>
        <w:t>Monto Autorizado: {{MONTO_CREDITO}} MXN</w:t>
      </w:r>
    </w:p>
    <w:p>
      <w:r>
        <w:t>• Reducir exposición fiscal en operaciones de servicios intangibles</w:t>
      </w:r>
    </w:p>
    <w:p>
      <w:r>
        <w:t>• Implementar controles preventivos ante auditorías SAT</w:t>
      </w:r>
    </w:p>
    <w:p>
      <w:r>
        <w:t>• Digitalizar expedientes de defensa fiscal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