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PROTOCOLO DE COORDINACIÓN MULTIAGENTE</w:t>
      </w:r>
    </w:p>
    <w:p/>
    <w:p>
      <w:r>
        <w:rPr>
          <w:b/>
          <w:sz w:val="24"/>
        </w:rPr>
        <w:t>OBJETIVO</w:t>
      </w:r>
    </w:p>
    <w:p>
      <w:r>
        <w:t>Establecer el protocolo de comunicación y coordinación entre los agentes del sistema Revisar.ia para garantizar la correcta validación de proyectos de servicios intangibles.</w:t>
      </w:r>
    </w:p>
    <w:p/>
    <w:p>
      <w:r>
        <w:rPr>
          <w:b/>
          <w:sz w:val="24"/>
        </w:rPr>
        <w:t>FLUJO DE COMUNICACIÓN</w:t>
      </w:r>
    </w:p>
    <w:p>
      <w:r>
        <w:t>1. PMO → A1_ESTRATEGIA: Solicitud de validación estratégica</w:t>
      </w:r>
    </w:p>
    <w:p>
      <w:r>
        <w:t>2. A1_ESTRATEGIA → A3_FISCAL: Dictamen estratégico + Solicitud validación fiscal</w:t>
      </w:r>
    </w:p>
    <w:p>
      <w:r>
        <w:t>3. A3_FISCAL → A5_FINANZAS: Dictamen fiscal + Solicitud validación financiera</w:t>
      </w:r>
    </w:p>
    <w:p>
      <w:r>
        <w:t>4. A5_FINANZAS → A4_LEGAL: Dictamen financiero + Solicitud validación legal</w:t>
      </w:r>
    </w:p>
    <w:p>
      <w:r>
        <w:t>5. A4_LEGAL → PMO: Dictamen legal + Consolidación final</w:t>
      </w:r>
    </w:p>
    <w:p>
      <w:r>
        <w:t>6. PMO → SPONSOR: Expediente completo para aprobación</w:t>
      </w:r>
    </w:p>
    <w:p/>
    <w:p>
      <w:r>
        <w:rPr>
          <w:b/>
          <w:sz w:val="24"/>
        </w:rPr>
        <w:t>TIEMPOS DE RESPUESTA (SLA)</w:t>
      </w:r>
    </w:p>
    <w:p>
      <w:r>
        <w:t>• Validación Estratégica: 24 horas</w:t>
      </w:r>
    </w:p>
    <w:p>
      <w:r>
        <w:t>• Validación Fiscal: 48 horas</w:t>
      </w:r>
    </w:p>
    <w:p>
      <w:r>
        <w:t>• Validación Financiera: 24 horas</w:t>
      </w:r>
    </w:p>
    <w:p>
      <w:r>
        <w:t>• Validación Legal: 48 horas</w:t>
      </w:r>
    </w:p>
    <w:p>
      <w:r>
        <w:t>• Consolidación PMO: 24 horas</w:t>
      </w:r>
    </w:p>
    <w:p>
      <w:r>
        <w:t>• Aprobación Sponsor: 72 horas</w:t>
      </w:r>
    </w:p>
    <w:p/>
    <w:p>
      <w:r>
        <w:rPr>
          <w:b/>
          <w:sz w:val="24"/>
        </w:rPr>
        <w:t>ESCALAMIENTO</w:t>
      </w:r>
    </w:p>
    <w:p>
      <w:r>
        <w:t>Si un agente excede su SLA:</w:t>
      </w:r>
    </w:p>
    <w:p>
      <w:r>
        <w:t>• Notificación automática al PMO</w:t>
      </w:r>
    </w:p>
    <w:p>
      <w:r>
        <w:t>• Escalamiento a Sponsor si excede 24 horas adicionales</w:t>
      </w:r>
    </w:p>
    <w:p>
      <w:r>
        <w:t>• Registro en bitácora de incidencias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