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CLÁUSULAS CONTRACTUALES DE MATERIALIDAD</w:t>
      </w:r>
    </w:p>
    <w:p/>
    <w:p>
      <w:r>
        <w:rPr>
          <w:b/>
          <w:sz w:val="24"/>
        </w:rPr>
        <w:t>CLÁUSULA DE MATERIALIDAD DEL SERVICIO</w:t>
      </w:r>
    </w:p>
    <w:p>
      <w:r>
        <w:t>EL PRESTADOR se obliga a:</w:t>
      </w:r>
    </w:p>
    <w:p>
      <w:r>
        <w:t>a) Documentar cada etapa del servicio prestado</w:t>
      </w:r>
    </w:p>
    <w:p>
      <w:r>
        <w:t>b) Proporcionar evidencia tangible de los trabajos realizados</w:t>
      </w:r>
    </w:p>
    <w:p>
      <w:r>
        <w:t>c) Entregar reportes de avance mensuales/semanales</w:t>
      </w:r>
    </w:p>
    <w:p>
      <w:r>
        <w:t>d) Permitir la verificación in situ de los servicios</w:t>
      </w:r>
    </w:p>
    <w:p>
      <w:r>
        <w:t>e) Mantener registro de comunicaciones y reuniones</w:t>
      </w:r>
    </w:p>
    <w:p/>
    <w:p>
      <w:r>
        <w:rPr>
          <w:b/>
          <w:sz w:val="24"/>
        </w:rPr>
        <w:t>CLÁUSULA DE ENTREGABLES VERIFICABLES</w:t>
      </w:r>
    </w:p>
    <w:p>
      <w:r>
        <w:t>Los entregables mínimos obligatorios son:</w:t>
      </w:r>
    </w:p>
    <w:p>
      <w:r>
        <w:t>a) Reportes técnicos con análisis y recomendaciones</w:t>
      </w:r>
    </w:p>
    <w:p>
      <w:r>
        <w:t>b) Minutas de reuniones firmadas por ambas partes</w:t>
      </w:r>
    </w:p>
    <w:p>
      <w:r>
        <w:t>c) Correspondencia electrónica del proyecto</w:t>
      </w:r>
    </w:p>
    <w:p>
      <w:r>
        <w:t>d) Acta de entrega-recepción por cada entregable</w:t>
      </w:r>
    </w:p>
    <w:p>
      <w:r>
        <w:t>e) Evidencia fotográfica o documental según aplique</w:t>
      </w:r>
    </w:p>
    <w:p/>
    <w:p>
      <w:r>
        <w:rPr>
          <w:b/>
          <w:sz w:val="24"/>
        </w:rPr>
        <w:t>CLÁUSULA DE CUMPLIMIENTO FISCAL</w:t>
      </w:r>
    </w:p>
    <w:p>
      <w:r>
        <w:t>EL PRESTADOR declara y garantiza:</w:t>
      </w:r>
    </w:p>
    <w:p>
      <w:r>
        <w:t>a) No estar incluido en las listas publicadas conforme al artículo 69-B del CFF</w:t>
      </w:r>
    </w:p>
    <w:p>
      <w:r>
        <w:t>b) Contar con opinión de cumplimiento de obligaciones fiscales positiva</w:t>
      </w:r>
    </w:p>
    <w:p>
      <w:r>
        <w:t>c) Notificar inmediatamente si cambia su situación fiscal</w:t>
      </w:r>
    </w:p>
    <w:p>
      <w:r>
        <w:t>d) Indemnizar a EL CLIENTE por cualquier contingencia fiscal derivada de incumplimiento</w:t>
      </w:r>
    </w:p>
    <w:p/>
    <w:p>
      <w:r>
        <w:rPr>
          <w:b/>
          <w:sz w:val="24"/>
        </w:rPr>
        <w:t>CLÁUSULA DE AUDITORÍA</w:t>
      </w:r>
    </w:p>
    <w:p>
      <w:r>
        <w:t>EL CLIENTE tendrá derecho a:</w:t>
      </w:r>
    </w:p>
    <w:p>
      <w:r>
        <w:t>a) Auditar los registros relacionados con los servicios prestados</w:t>
      </w:r>
    </w:p>
    <w:p>
      <w:r>
        <w:t>b) Solicitar documentación soporte adicional</w:t>
      </w:r>
    </w:p>
    <w:p>
      <w:r>
        <w:t>c) Verificar la capacidad operativa del PRESTADOR</w:t>
      </w:r>
    </w:p>
    <w:p>
      <w:r>
        <w:t>d) Requerir aclaraciones sobre cualquier aspecto del servicio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