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POLÍTICAS PRESUPUESTALES 2026</w:t>
      </w:r>
    </w:p>
    <w:p/>
    <w:p>
      <w:r>
        <w:rPr>
          <w:b/>
          <w:sz w:val="24"/>
        </w:rPr>
        <w:t>DATOS GENERALES</w:t>
      </w:r>
    </w:p>
    <w:p>
      <w:r>
        <w:t>Empresa: {{EMPRESA_NOMBRE}}</w:t>
      </w:r>
    </w:p>
    <w:p>
      <w:r>
        <w:t>Período Fiscal: {{PERIODO_FISCAL}}</w:t>
      </w:r>
    </w:p>
    <w:p>
      <w:r>
        <w:t>Fecha de Vigencia: {{FECHA_ACTUAL}}</w:t>
      </w:r>
    </w:p>
    <w:p/>
    <w:p>
      <w:r>
        <w:rPr>
          <w:b/>
          <w:sz w:val="24"/>
        </w:rPr>
        <w:t>LÍMITES DE AUTORIZACIÓN</w:t>
      </w:r>
    </w:p>
    <w:p>
      <w:r>
        <w:t>Nivel 1 - Gerente de Área:</w:t>
      </w:r>
    </w:p>
    <w:p>
      <w:r>
        <w:t>• Hasta $100,000 MXN por operación</w:t>
      </w:r>
    </w:p>
    <w:p>
      <w:r>
        <w:t>• Requiere: Cotización y justificación</w:t>
      </w:r>
    </w:p>
    <w:p/>
    <w:p>
      <w:r>
        <w:t>Nivel 2 - Director de Área:</w:t>
      </w:r>
    </w:p>
    <w:p>
      <w:r>
        <w:t>• De $100,001 a $500,000 MXN</w:t>
      </w:r>
    </w:p>
    <w:p>
      <w:r>
        <w:t>• Requiere: 3 cotizaciones + validación fiscal</w:t>
      </w:r>
    </w:p>
    <w:p/>
    <w:p>
      <w:r>
        <w:t>Nivel 3 - Director General:</w:t>
      </w:r>
    </w:p>
    <w:p>
      <w:r>
        <w:t>• De $500,001 a $2,000,000 MXN</w:t>
      </w:r>
    </w:p>
    <w:p>
      <w:r>
        <w:t>• Requiere: Expediente completo + dictámenes</w:t>
      </w:r>
    </w:p>
    <w:p/>
    <w:p>
      <w:r>
        <w:t>Nivel 4 - Consejo de Administración:</w:t>
      </w:r>
    </w:p>
    <w:p>
      <w:r>
        <w:t>• Más de $2,000,000 MXN</w:t>
      </w:r>
    </w:p>
    <w:p>
      <w:r>
        <w:t>• Requiere: Presentación ejecutiva + aprobación en sesión</w:t>
      </w:r>
    </w:p>
    <w:p/>
    <w:p>
      <w:r>
        <w:rPr>
          <w:b/>
          <w:sz w:val="24"/>
        </w:rPr>
        <w:t>PARTIDAS PRESUPUESTALES</w:t>
      </w:r>
    </w:p>
    <w:p>
      <w:r>
        <w:t>1000 - Servicios Personales</w:t>
      </w:r>
    </w:p>
    <w:p>
      <w:r>
        <w:t>2000 - Materiales y Suministros</w:t>
      </w:r>
    </w:p>
    <w:p>
      <w:r>
        <w:t>3000 - Servicios Generales (incluye consultoría)</w:t>
      </w:r>
    </w:p>
    <w:p>
      <w:r>
        <w:t>4000 - Transferencias</w:t>
      </w:r>
    </w:p>
    <w:p>
      <w:r>
        <w:t>5000 - Bienes Muebles e Inmuebles</w:t>
      </w:r>
    </w:p>
    <w:p>
      <w:r>
        <w:t>6000 - Inversiones</w:t>
      </w:r>
    </w:p>
    <w:p/>
    <w:p>
      <w:r>
        <w:rPr>
          <w:b/>
          <w:sz w:val="24"/>
        </w:rPr>
        <w:t>REQUISITOS PARA SERVICIOS INTANGIBLES (3000)</w:t>
      </w:r>
    </w:p>
    <w:p>
      <w:r>
        <w:t>Todo gasto en servicios intangibles requiere:</w:t>
      </w:r>
    </w:p>
    <w:p>
      <w:r>
        <w:t>☐ Justificación de razón de negocios</w:t>
      </w:r>
    </w:p>
    <w:p>
      <w:r>
        <w:t>☐ Análisis de beneficio económico esperado</w:t>
      </w:r>
    </w:p>
    <w:p>
      <w:r>
        <w:t>☐ Validación de proveedor (69-B)</w:t>
      </w:r>
    </w:p>
    <w:p>
      <w:r>
        <w:t>☐ Contrato con cláusulas de materialidad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