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CRITERIOS JURISPRUDENCIALES TFJA APLICABLES</w:t>
      </w:r>
    </w:p>
    <w:p/>
    <w:p>
      <w:r>
        <w:rPr>
          <w:b/>
          <w:sz w:val="24"/>
        </w:rPr>
        <w:t>TRIBUNAL FEDERAL DE JUSTICIA ADMINISTRATIVA</w:t>
      </w:r>
    </w:p>
    <w:p>
      <w:r>
        <w:t>Los siguientes criterios jurisprudenciales son relevantes para la defensa de operaciones de servicios intangibles:</w:t>
      </w:r>
    </w:p>
    <w:p/>
    <w:p>
      <w:r>
        <w:rPr>
          <w:b/>
          <w:sz w:val="24"/>
        </w:rPr>
        <w:t>TESIS 1: RAZÓN DE NEGOCIOS</w:t>
      </w:r>
    </w:p>
    <w:p>
      <w:r>
        <w:t>Número: VII-TASR-{{NUMERO_TESIS_1}}</w:t>
      </w:r>
    </w:p>
    <w:p>
      <w:r>
        <w:t>Rubro: RAZÓN DE NEGOCIOS. ELEMENTOS QUE LA INTEGRAN.</w:t>
      </w:r>
    </w:p>
    <w:p>
      <w:r>
        <w:t>Criterio: La razón de negocios existe cuando el contribuyente demuestra que la operación tiene un propósito comercial legítimo más allá del beneficio fiscal.</w:t>
      </w:r>
    </w:p>
    <w:p>
      <w:r>
        <w:t>Aplicación: Documentar siempre el beneficio económico esperado de cada operación.</w:t>
      </w:r>
    </w:p>
    <w:p/>
    <w:p>
      <w:r>
        <w:rPr>
          <w:b/>
          <w:sz w:val="24"/>
        </w:rPr>
        <w:t>TESIS 2: MATERIALIDAD DE SERVICIOS</w:t>
      </w:r>
    </w:p>
    <w:p>
      <w:r>
        <w:t>Número: VII-TASR-{{NUMERO_TESIS_2}}</w:t>
      </w:r>
    </w:p>
    <w:p>
      <w:r>
        <w:t>Rubro: OPERACIONES INEXISTENTES. CARGA DE LA PRUEBA.</w:t>
      </w:r>
    </w:p>
    <w:p>
      <w:r>
        <w:t>Criterio: La autoridad debe probar los hechos que sustenten la presunción de inexistencia, mientras que el contribuyente puede desvirtuar la presunción con documentación que acredite la materialidad.</w:t>
      </w:r>
    </w:p>
    <w:p>
      <w:r>
        <w:t>Aplicación: Mantener evidencia documental robusta de cada servicio prestado.</w:t>
      </w:r>
    </w:p>
    <w:p/>
    <w:p>
      <w:r>
        <w:rPr>
          <w:b/>
          <w:sz w:val="24"/>
        </w:rPr>
        <w:t>TESIS 3: ESTRICTA INDISPENSABILIDAD</w:t>
      </w:r>
    </w:p>
    <w:p>
      <w:r>
        <w:t>Número: VII-TASR-{{NUMERO_TESIS_3}}</w:t>
      </w:r>
    </w:p>
    <w:p>
      <w:r>
        <w:t>Rubro: DEDUCCIONES. CONCEPTO DE ESTRICTA INDISPENSABILIDAD.</w:t>
      </w:r>
    </w:p>
    <w:p>
      <w:r>
        <w:t>Criterio: Un gasto es estrictamente indispensable cuando tiene relación directa con la actividad del contribuyente y es necesario para la consecución de sus fines.</w:t>
      </w:r>
    </w:p>
    <w:p>
      <w:r>
        <w:t>Aplicación: Documentar la relación entre el servicio contratado y la actividad preponderante.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