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POLÍTICA ANTI-EFOS DE LA EMPRESA</w:t>
      </w:r>
    </w:p>
    <w:p/>
    <w:p>
      <w:r>
        <w:rPr>
          <w:b/>
          <w:sz w:val="24"/>
        </w:rPr>
        <w:t>OBJETIVO</w:t>
      </w:r>
    </w:p>
    <w:p>
      <w:r>
        <w:t>Establecer los lineamientos que {{EMPRESA_NOMBRE}} seguirá para prevenir la contratación de Empresas que Facturan Operaciones Simuladas (EFOS).</w:t>
      </w:r>
    </w:p>
    <w:p/>
    <w:p>
      <w:r>
        <w:rPr>
          <w:b/>
          <w:sz w:val="24"/>
        </w:rPr>
        <w:t>DEFINICIÓN</w:t>
      </w:r>
    </w:p>
    <w:p>
      <w:r>
        <w:t>EFOS: Contribuyentes que emiten comprobantes fiscales sin tener capacidad material para prestar los servicios o entregar los bienes que amparan dichos comprobantes.</w:t>
      </w:r>
    </w:p>
    <w:p/>
    <w:p>
      <w:r>
        <w:rPr>
          <w:b/>
          <w:sz w:val="24"/>
        </w:rPr>
        <w:t>PROCEDIMIENTO DE VALIDACIÓN</w:t>
      </w:r>
    </w:p>
    <w:p>
      <w:r>
        <w:t>ANTES de cualquier contratación de servicios:</w:t>
      </w:r>
    </w:p>
    <w:p>
      <w:r>
        <w:t>1. Consultar lista 69-B del SAT</w:t>
      </w:r>
    </w:p>
    <w:p>
      <w:r>
        <w:t>2. Verificar opinión de cumplimiento fiscal</w:t>
      </w:r>
    </w:p>
    <w:p>
      <w:r>
        <w:t>3. Validar domicilio fiscal del proveedor</w:t>
      </w:r>
    </w:p>
    <w:p>
      <w:r>
        <w:t>4. Confirmar existencia de personal y activos</w:t>
      </w:r>
    </w:p>
    <w:p>
      <w:r>
        <w:t>5. Revisar antigüedad y objeto social del RFC</w:t>
      </w:r>
    </w:p>
    <w:p/>
    <w:p>
      <w:r>
        <w:rPr>
          <w:b/>
          <w:sz w:val="24"/>
        </w:rPr>
        <w:t>PROHIBICIONES</w:t>
      </w:r>
    </w:p>
    <w:p>
      <w:r>
        <w:t>Está prohibido contratar proveedores que:</w:t>
      </w:r>
    </w:p>
    <w:p>
      <w:r>
        <w:t>☐ Aparezcan en lista definitiva 69-B</w:t>
      </w:r>
    </w:p>
    <w:p>
      <w:r>
        <w:t>☐ No proporcionen opinión de cumplimiento positiva</w:t>
      </w:r>
    </w:p>
    <w:p>
      <w:r>
        <w:t>☐ No puedan demostrar capacidad operativa</w:t>
      </w:r>
    </w:p>
    <w:p>
      <w:r>
        <w:t>☐ Tengan domicilio fiscal no localizable</w:t>
      </w:r>
    </w:p>
    <w:p>
      <w:r>
        <w:t>☐ Tengan RFC con antigüedad menor a 1 año para montos &gt;$500,000</w:t>
      </w:r>
    </w:p>
    <w:p/>
    <w:p>
      <w:r>
        <w:rPr>
          <w:b/>
          <w:sz w:val="24"/>
        </w:rPr>
        <w:t>SANCIONES INTERNAS</w:t>
      </w:r>
    </w:p>
    <w:p>
      <w:r>
        <w:t>El incumplimiento de esta política resultará en:</w:t>
      </w:r>
    </w:p>
    <w:p>
      <w:r>
        <w:t>• Primera falta: Amonestación escrita</w:t>
      </w:r>
    </w:p>
    <w:p>
      <w:r>
        <w:t>• Segunda falta: Suspensión temporal</w:t>
      </w:r>
    </w:p>
    <w:p>
      <w:r>
        <w:t>• Tercera falta: Rescisión de contrato laboral</w:t>
      </w:r>
    </w:p>
    <w:p>
      <w:r>
        <w:t>• En todos los casos: Responsabilidad solidaria por contingencias fiscales</w:t>
      </w:r>
    </w:p>
    <w:p/>
    <w:p>
      <w:r>
        <w:rPr>
          <w:b/>
          <w:sz w:val="24"/>
        </w:rPr>
        <w:t>VIGENCIA</w:t>
      </w:r>
    </w:p>
    <w:p>
      <w:r>
        <w:t>Esta política entra en vigor a partir de: {{FECHA_ACTUAL}}</w:t>
      </w:r>
    </w:p>
    <w:p>
      <w:r>
        <w:t>Aprobada por: {DIRECTOR_GENERAL}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