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8CE71" w14:textId="3A5F7B45" w:rsidR="009F75C8" w:rsidRDefault="009F75C8" w:rsidP="009F75C8">
      <w:pPr>
        <w:jc w:val="center"/>
        <w:rPr>
          <w:rFonts w:ascii="Arial" w:hAnsi="Arial" w:cs="Arial"/>
        </w:rPr>
      </w:pPr>
      <w:r w:rsidRPr="009F75C8">
        <w:rPr>
          <w:rFonts w:ascii="Arial" w:hAnsi="Arial" w:cs="Arial"/>
        </w:rPr>
        <w:t>UKA Market Updates</w:t>
      </w:r>
      <w:r>
        <w:rPr>
          <w:rFonts w:ascii="Arial" w:hAnsi="Arial" w:cs="Arial"/>
        </w:rPr>
        <w:t xml:space="preserve"> (February – March</w:t>
      </w:r>
      <w:r w:rsidR="00714679">
        <w:rPr>
          <w:rFonts w:ascii="Arial" w:hAnsi="Arial" w:cs="Arial"/>
        </w:rPr>
        <w:t xml:space="preserve"> 2025</w:t>
      </w:r>
      <w:r>
        <w:rPr>
          <w:rFonts w:ascii="Arial" w:hAnsi="Arial" w:cs="Arial"/>
        </w:rPr>
        <w:t xml:space="preserve">) </w:t>
      </w:r>
    </w:p>
    <w:p w14:paraId="6E955D75" w14:textId="77777777" w:rsidR="009F75C8" w:rsidRDefault="009F75C8" w:rsidP="009F75C8">
      <w:pPr>
        <w:jc w:val="center"/>
        <w:rPr>
          <w:rFonts w:ascii="Arial" w:hAnsi="Arial" w:cs="Arial"/>
        </w:rPr>
      </w:pPr>
    </w:p>
    <w:p w14:paraId="543DA333" w14:textId="7803C7F9" w:rsidR="009F75C8" w:rsidRDefault="009F75C8" w:rsidP="001715AB">
      <w:pPr>
        <w:jc w:val="both"/>
        <w:rPr>
          <w:rFonts w:ascii="Arial" w:hAnsi="Arial" w:cs="Arial"/>
        </w:rPr>
      </w:pPr>
      <w:r>
        <w:rPr>
          <w:rFonts w:ascii="Arial" w:hAnsi="Arial" w:cs="Arial"/>
        </w:rPr>
        <w:t xml:space="preserve">Summary: There has been a noticeable convergence between UKA and EUA price performance as of </w:t>
      </w:r>
      <w:r w:rsidR="008435DA">
        <w:rPr>
          <w:rFonts w:ascii="Arial" w:hAnsi="Arial" w:cs="Arial"/>
        </w:rPr>
        <w:t>28 January</w:t>
      </w:r>
      <w:r>
        <w:rPr>
          <w:rFonts w:ascii="Arial" w:hAnsi="Arial" w:cs="Arial"/>
        </w:rPr>
        <w:t xml:space="preserve"> 2025 following a </w:t>
      </w:r>
      <w:r w:rsidR="00653265">
        <w:rPr>
          <w:rFonts w:ascii="Arial" w:hAnsi="Arial" w:cs="Arial"/>
        </w:rPr>
        <w:t xml:space="preserve">news report that </w:t>
      </w:r>
      <w:hyperlink r:id="rId5" w:history="1">
        <w:r w:rsidR="00653265" w:rsidRPr="00653265">
          <w:rPr>
            <w:rStyle w:val="Hyperlink"/>
            <w:rFonts w:ascii="Arial" w:hAnsi="Arial" w:cs="Arial"/>
          </w:rPr>
          <w:t>Britain</w:t>
        </w:r>
        <w:r w:rsidRPr="00653265">
          <w:rPr>
            <w:rStyle w:val="Hyperlink"/>
            <w:rFonts w:ascii="Arial" w:hAnsi="Arial" w:cs="Arial"/>
          </w:rPr>
          <w:t xml:space="preserve"> is seeking </w:t>
        </w:r>
        <w:r w:rsidR="00653265" w:rsidRPr="00653265">
          <w:rPr>
            <w:rStyle w:val="Hyperlink"/>
            <w:rFonts w:ascii="Arial" w:hAnsi="Arial" w:cs="Arial"/>
          </w:rPr>
          <w:t>talks on linking its carbon market with that of the European Union</w:t>
        </w:r>
      </w:hyperlink>
      <w:r w:rsidR="00653265">
        <w:rPr>
          <w:rFonts w:ascii="Arial" w:hAnsi="Arial" w:cs="Arial"/>
        </w:rPr>
        <w:t xml:space="preserve">. </w:t>
      </w:r>
      <w:r w:rsidR="00354127">
        <w:rPr>
          <w:rFonts w:ascii="Arial" w:hAnsi="Arial" w:cs="Arial"/>
        </w:rPr>
        <w:t xml:space="preserve">There has </w:t>
      </w:r>
      <w:r w:rsidR="007F408F">
        <w:rPr>
          <w:rFonts w:ascii="Arial" w:hAnsi="Arial" w:cs="Arial"/>
        </w:rPr>
        <w:t xml:space="preserve">been no </w:t>
      </w:r>
      <w:r w:rsidR="00381006">
        <w:rPr>
          <w:rFonts w:ascii="Arial" w:hAnsi="Arial" w:cs="Arial"/>
        </w:rPr>
        <w:t xml:space="preserve">further </w:t>
      </w:r>
      <w:r w:rsidR="003F610B">
        <w:rPr>
          <w:rFonts w:ascii="Arial" w:hAnsi="Arial" w:cs="Arial"/>
        </w:rPr>
        <w:t>reporting</w:t>
      </w:r>
      <w:r w:rsidR="007F408F">
        <w:rPr>
          <w:rFonts w:ascii="Arial" w:hAnsi="Arial" w:cs="Arial"/>
        </w:rPr>
        <w:t xml:space="preserve"> on whether such talks have been scheduled</w:t>
      </w:r>
      <w:r w:rsidR="0018452B">
        <w:rPr>
          <w:rFonts w:ascii="Arial" w:hAnsi="Arial" w:cs="Arial"/>
        </w:rPr>
        <w:t>, however</w:t>
      </w:r>
      <w:r w:rsidR="007F408F">
        <w:rPr>
          <w:rFonts w:ascii="Arial" w:hAnsi="Arial" w:cs="Arial"/>
        </w:rPr>
        <w:t xml:space="preserve">. </w:t>
      </w:r>
    </w:p>
    <w:p w14:paraId="46B60BB0" w14:textId="77777777" w:rsidR="00B31840" w:rsidRDefault="00B31840" w:rsidP="001715AB">
      <w:pPr>
        <w:jc w:val="both"/>
        <w:rPr>
          <w:rFonts w:ascii="Arial" w:hAnsi="Arial" w:cs="Arial"/>
        </w:rPr>
      </w:pPr>
    </w:p>
    <w:p w14:paraId="328C3C1A" w14:textId="62BD4E9C" w:rsidR="009F75C8" w:rsidRDefault="009F75C8" w:rsidP="001715AB">
      <w:pPr>
        <w:jc w:val="both"/>
        <w:rPr>
          <w:rFonts w:ascii="Arial" w:hAnsi="Arial" w:cs="Arial"/>
        </w:rPr>
      </w:pPr>
      <w:r w:rsidRPr="00BC1F25">
        <w:rPr>
          <w:rFonts w:ascii="Arial" w:hAnsi="Arial" w:cs="Arial"/>
          <w:u w:val="single"/>
        </w:rPr>
        <w:t>Key UKA Price Drivers</w:t>
      </w:r>
      <w:r>
        <w:rPr>
          <w:rFonts w:ascii="Arial" w:hAnsi="Arial" w:cs="Arial"/>
        </w:rPr>
        <w:t xml:space="preserve">: </w:t>
      </w:r>
    </w:p>
    <w:p w14:paraId="3372CED3" w14:textId="483B3584" w:rsidR="00653265" w:rsidRDefault="00653265" w:rsidP="001715AB">
      <w:pPr>
        <w:pStyle w:val="ListParagraph"/>
        <w:numPr>
          <w:ilvl w:val="0"/>
          <w:numId w:val="1"/>
        </w:numPr>
        <w:jc w:val="both"/>
        <w:rPr>
          <w:rFonts w:ascii="Arial" w:hAnsi="Arial" w:cs="Arial"/>
        </w:rPr>
      </w:pPr>
      <w:r w:rsidRPr="00DC0A27">
        <w:rPr>
          <w:rFonts w:ascii="Arial" w:hAnsi="Arial" w:cs="Arial"/>
          <w:b/>
          <w:bCs/>
        </w:rPr>
        <w:t>Gas</w:t>
      </w:r>
      <w:r>
        <w:rPr>
          <w:rFonts w:ascii="Arial" w:hAnsi="Arial" w:cs="Arial"/>
        </w:rPr>
        <w:t xml:space="preserve">: A strengthening gas market (higher prices) is correlated with higher UKA prices </w:t>
      </w:r>
      <w:r w:rsidR="00744F1E">
        <w:rPr>
          <w:rFonts w:ascii="Arial" w:hAnsi="Arial" w:cs="Arial"/>
        </w:rPr>
        <w:t>–</w:t>
      </w:r>
      <w:r>
        <w:rPr>
          <w:rFonts w:ascii="Arial" w:hAnsi="Arial" w:cs="Arial"/>
        </w:rPr>
        <w:t xml:space="preserve"> </w:t>
      </w:r>
      <w:r w:rsidR="00744F1E">
        <w:rPr>
          <w:rFonts w:ascii="Arial" w:hAnsi="Arial" w:cs="Arial"/>
        </w:rPr>
        <w:t>higher energy consumption lead</w:t>
      </w:r>
      <w:r w:rsidR="00DC0A27">
        <w:rPr>
          <w:rFonts w:ascii="Arial" w:hAnsi="Arial" w:cs="Arial"/>
        </w:rPr>
        <w:t>s</w:t>
      </w:r>
      <w:r w:rsidR="00744F1E">
        <w:rPr>
          <w:rFonts w:ascii="Arial" w:hAnsi="Arial" w:cs="Arial"/>
        </w:rPr>
        <w:t xml:space="preserve"> to higher CO2 emissions, which must be offset b</w:t>
      </w:r>
      <w:r w:rsidR="00DC0A27">
        <w:rPr>
          <w:rFonts w:ascii="Arial" w:hAnsi="Arial" w:cs="Arial"/>
        </w:rPr>
        <w:t>y additional</w:t>
      </w:r>
      <w:r w:rsidR="00744F1E">
        <w:rPr>
          <w:rFonts w:ascii="Arial" w:hAnsi="Arial" w:cs="Arial"/>
        </w:rPr>
        <w:t xml:space="preserve"> UKA</w:t>
      </w:r>
      <w:r w:rsidR="00DC0A27">
        <w:rPr>
          <w:rFonts w:ascii="Arial" w:hAnsi="Arial" w:cs="Arial"/>
        </w:rPr>
        <w:t>s under the UK ETS scheme</w:t>
      </w:r>
      <w:r w:rsidR="00744F1E">
        <w:rPr>
          <w:rFonts w:ascii="Arial" w:hAnsi="Arial" w:cs="Arial"/>
        </w:rPr>
        <w:t xml:space="preserve">. </w:t>
      </w:r>
    </w:p>
    <w:p w14:paraId="706CF9DA" w14:textId="452C4B78" w:rsidR="00653265" w:rsidRDefault="00653265" w:rsidP="001715AB">
      <w:pPr>
        <w:pStyle w:val="ListParagraph"/>
        <w:numPr>
          <w:ilvl w:val="0"/>
          <w:numId w:val="1"/>
        </w:numPr>
        <w:jc w:val="both"/>
        <w:rPr>
          <w:rFonts w:ascii="Arial" w:hAnsi="Arial" w:cs="Arial"/>
        </w:rPr>
      </w:pPr>
      <w:r w:rsidRPr="00DC0A27">
        <w:rPr>
          <w:rFonts w:ascii="Arial" w:hAnsi="Arial" w:cs="Arial"/>
          <w:b/>
          <w:bCs/>
        </w:rPr>
        <w:t>Weather</w:t>
      </w:r>
      <w:r>
        <w:rPr>
          <w:rFonts w:ascii="Arial" w:hAnsi="Arial" w:cs="Arial"/>
        </w:rPr>
        <w:t xml:space="preserve">: UKA prices are negatively correlated with </w:t>
      </w:r>
      <w:r w:rsidR="00B62FE8">
        <w:rPr>
          <w:rFonts w:ascii="Arial" w:hAnsi="Arial" w:cs="Arial"/>
        </w:rPr>
        <w:t xml:space="preserve">warmer-than-expected </w:t>
      </w:r>
      <w:r>
        <w:rPr>
          <w:rFonts w:ascii="Arial" w:hAnsi="Arial" w:cs="Arial"/>
        </w:rPr>
        <w:t>weather</w:t>
      </w:r>
      <w:r w:rsidR="00B62FE8">
        <w:rPr>
          <w:rFonts w:ascii="Arial" w:hAnsi="Arial" w:cs="Arial"/>
        </w:rPr>
        <w:t xml:space="preserve"> (less</w:t>
      </w:r>
      <w:r>
        <w:rPr>
          <w:rFonts w:ascii="Arial" w:hAnsi="Arial" w:cs="Arial"/>
        </w:rPr>
        <w:t xml:space="preserve"> energy </w:t>
      </w:r>
      <w:r w:rsidR="00B62FE8">
        <w:rPr>
          <w:rFonts w:ascii="Arial" w:hAnsi="Arial" w:cs="Arial"/>
        </w:rPr>
        <w:t>required</w:t>
      </w:r>
      <w:r>
        <w:rPr>
          <w:rFonts w:ascii="Arial" w:hAnsi="Arial" w:cs="Arial"/>
        </w:rPr>
        <w:t xml:space="preserve"> to heat up homes)</w:t>
      </w:r>
      <w:r w:rsidR="008C0DCD">
        <w:rPr>
          <w:rFonts w:ascii="Arial" w:hAnsi="Arial" w:cs="Arial"/>
        </w:rPr>
        <w:t>.</w:t>
      </w:r>
    </w:p>
    <w:p w14:paraId="57434C1B" w14:textId="4F9A27F6" w:rsidR="00653265" w:rsidRDefault="00653265" w:rsidP="001715AB">
      <w:pPr>
        <w:pStyle w:val="ListParagraph"/>
        <w:numPr>
          <w:ilvl w:val="0"/>
          <w:numId w:val="1"/>
        </w:numPr>
        <w:jc w:val="both"/>
        <w:rPr>
          <w:rFonts w:ascii="Arial" w:hAnsi="Arial" w:cs="Arial"/>
        </w:rPr>
      </w:pPr>
      <w:r w:rsidRPr="00DC0A27">
        <w:rPr>
          <w:rFonts w:ascii="Arial" w:hAnsi="Arial" w:cs="Arial"/>
          <w:b/>
          <w:bCs/>
        </w:rPr>
        <w:t>Renewable Generation Output</w:t>
      </w:r>
      <w:r>
        <w:rPr>
          <w:rFonts w:ascii="Arial" w:hAnsi="Arial" w:cs="Arial"/>
        </w:rPr>
        <w:t xml:space="preserve">: UKA prices are negatively correlated with renewable energy production – increased or outsized production drives </w:t>
      </w:r>
      <w:r w:rsidR="00BE162F">
        <w:rPr>
          <w:rFonts w:ascii="Arial" w:hAnsi="Arial" w:cs="Arial"/>
        </w:rPr>
        <w:t xml:space="preserve">down </w:t>
      </w:r>
      <w:r w:rsidR="00BC1F25">
        <w:rPr>
          <w:rFonts w:ascii="Arial" w:hAnsi="Arial" w:cs="Arial"/>
        </w:rPr>
        <w:t xml:space="preserve">fossil-fuel based power generation. </w:t>
      </w:r>
      <w:r w:rsidR="0020453A">
        <w:rPr>
          <w:rFonts w:ascii="Arial" w:hAnsi="Arial" w:cs="Arial"/>
        </w:rPr>
        <w:t>Strong wind generation in the UK</w:t>
      </w:r>
      <w:r w:rsidR="008F1740">
        <w:rPr>
          <w:rFonts w:ascii="Arial" w:hAnsi="Arial" w:cs="Arial"/>
        </w:rPr>
        <w:t>, for example,</w:t>
      </w:r>
      <w:r w:rsidR="0020453A">
        <w:rPr>
          <w:rFonts w:ascii="Arial" w:hAnsi="Arial" w:cs="Arial"/>
        </w:rPr>
        <w:t xml:space="preserve"> can </w:t>
      </w:r>
      <w:r w:rsidR="008142F0">
        <w:rPr>
          <w:rFonts w:ascii="Arial" w:hAnsi="Arial" w:cs="Arial"/>
        </w:rPr>
        <w:t xml:space="preserve">be a key driver of this effect. </w:t>
      </w:r>
    </w:p>
    <w:p w14:paraId="23227A71" w14:textId="3916FAF7" w:rsidR="00744F1E" w:rsidRDefault="00744F1E" w:rsidP="001715AB">
      <w:pPr>
        <w:pStyle w:val="ListParagraph"/>
        <w:numPr>
          <w:ilvl w:val="0"/>
          <w:numId w:val="1"/>
        </w:numPr>
        <w:jc w:val="both"/>
        <w:rPr>
          <w:rFonts w:ascii="Arial" w:hAnsi="Arial" w:cs="Arial"/>
        </w:rPr>
      </w:pPr>
      <w:r w:rsidRPr="00DC0A27">
        <w:rPr>
          <w:rFonts w:ascii="Arial" w:hAnsi="Arial" w:cs="Arial"/>
          <w:b/>
          <w:bCs/>
        </w:rPr>
        <w:t>Auction supply</w:t>
      </w:r>
      <w:r w:rsidR="00DC0A27">
        <w:rPr>
          <w:rFonts w:ascii="Arial" w:hAnsi="Arial" w:cs="Arial"/>
        </w:rPr>
        <w:t>:</w:t>
      </w:r>
      <w:r>
        <w:rPr>
          <w:rFonts w:ascii="Arial" w:hAnsi="Arial" w:cs="Arial"/>
        </w:rPr>
        <w:t xml:space="preserve"> </w:t>
      </w:r>
      <w:r w:rsidR="00D62B51">
        <w:rPr>
          <w:rFonts w:ascii="Arial" w:hAnsi="Arial" w:cs="Arial"/>
        </w:rPr>
        <w:t xml:space="preserve">Halted </w:t>
      </w:r>
      <w:r w:rsidR="001715AB">
        <w:rPr>
          <w:rFonts w:ascii="Arial" w:hAnsi="Arial" w:cs="Arial"/>
        </w:rPr>
        <w:t xml:space="preserve">UKA </w:t>
      </w:r>
      <w:r w:rsidR="00D62B51">
        <w:rPr>
          <w:rFonts w:ascii="Arial" w:hAnsi="Arial" w:cs="Arial"/>
        </w:rPr>
        <w:t>auction</w:t>
      </w:r>
      <w:r w:rsidR="001715AB">
        <w:rPr>
          <w:rFonts w:ascii="Arial" w:hAnsi="Arial" w:cs="Arial"/>
        </w:rPr>
        <w:t>s</w:t>
      </w:r>
      <w:r w:rsidR="00D62B51">
        <w:rPr>
          <w:rFonts w:ascii="Arial" w:hAnsi="Arial" w:cs="Arial"/>
        </w:rPr>
        <w:t>, or l</w:t>
      </w:r>
      <w:r>
        <w:rPr>
          <w:rFonts w:ascii="Arial" w:hAnsi="Arial" w:cs="Arial"/>
        </w:rPr>
        <w:t>ittle to no auction supply</w:t>
      </w:r>
      <w:r w:rsidR="001715AB">
        <w:rPr>
          <w:rFonts w:ascii="Arial" w:hAnsi="Arial" w:cs="Arial"/>
        </w:rPr>
        <w:t>,</w:t>
      </w:r>
      <w:r>
        <w:rPr>
          <w:rFonts w:ascii="Arial" w:hAnsi="Arial" w:cs="Arial"/>
        </w:rPr>
        <w:t xml:space="preserve"> support</w:t>
      </w:r>
      <w:r w:rsidR="001715AB">
        <w:rPr>
          <w:rFonts w:ascii="Arial" w:hAnsi="Arial" w:cs="Arial"/>
        </w:rPr>
        <w:t xml:space="preserve"> UKA</w:t>
      </w:r>
      <w:r>
        <w:rPr>
          <w:rFonts w:ascii="Arial" w:hAnsi="Arial" w:cs="Arial"/>
        </w:rPr>
        <w:t xml:space="preserve"> prices</w:t>
      </w:r>
      <w:r w:rsidR="008C0DCD">
        <w:rPr>
          <w:rFonts w:ascii="Arial" w:hAnsi="Arial" w:cs="Arial"/>
        </w:rPr>
        <w:t>.</w:t>
      </w:r>
    </w:p>
    <w:p w14:paraId="1CD72406" w14:textId="65F751F7" w:rsidR="00744F1E" w:rsidRPr="00653265" w:rsidRDefault="00744F1E" w:rsidP="001715AB">
      <w:pPr>
        <w:pStyle w:val="ListParagraph"/>
        <w:numPr>
          <w:ilvl w:val="0"/>
          <w:numId w:val="1"/>
        </w:numPr>
        <w:jc w:val="both"/>
        <w:rPr>
          <w:rFonts w:ascii="Arial" w:hAnsi="Arial" w:cs="Arial"/>
        </w:rPr>
      </w:pPr>
      <w:r w:rsidRPr="00DC0A27">
        <w:rPr>
          <w:rFonts w:ascii="Arial" w:hAnsi="Arial" w:cs="Arial"/>
          <w:b/>
          <w:bCs/>
        </w:rPr>
        <w:t>Trading Activity</w:t>
      </w:r>
      <w:r w:rsidR="00DC0A27">
        <w:rPr>
          <w:rFonts w:ascii="Arial" w:hAnsi="Arial" w:cs="Arial"/>
        </w:rPr>
        <w:t>:</w:t>
      </w:r>
      <w:r>
        <w:rPr>
          <w:rFonts w:ascii="Arial" w:hAnsi="Arial" w:cs="Arial"/>
        </w:rPr>
        <w:t xml:space="preserve"> Higher demand (e.g., due to bullish sentiment) supports higher UKA prices. </w:t>
      </w:r>
    </w:p>
    <w:p w14:paraId="56BE397D" w14:textId="77777777" w:rsidR="009F75C8" w:rsidRDefault="009F75C8" w:rsidP="001715AB">
      <w:pPr>
        <w:jc w:val="both"/>
        <w:rPr>
          <w:rFonts w:ascii="Arial" w:hAnsi="Arial" w:cs="Arial"/>
        </w:rPr>
      </w:pPr>
    </w:p>
    <w:p w14:paraId="6B511C2A" w14:textId="6C79EF46" w:rsidR="001500CF" w:rsidRDefault="00776436" w:rsidP="001715AB">
      <w:pPr>
        <w:jc w:val="both"/>
        <w:rPr>
          <w:rFonts w:ascii="Arial" w:hAnsi="Arial" w:cs="Arial"/>
        </w:rPr>
      </w:pPr>
      <w:r w:rsidRPr="00BC1F25">
        <w:rPr>
          <w:rFonts w:ascii="Arial" w:hAnsi="Arial" w:cs="Arial"/>
          <w:u w:val="single"/>
        </w:rPr>
        <w:t>UKA Price Outlook</w:t>
      </w:r>
      <w:r>
        <w:rPr>
          <w:rFonts w:ascii="Arial" w:hAnsi="Arial" w:cs="Arial"/>
        </w:rPr>
        <w:t>:</w:t>
      </w:r>
    </w:p>
    <w:p w14:paraId="28691032" w14:textId="2516DBB1" w:rsidR="008C3A8A" w:rsidRDefault="00776436" w:rsidP="001715AB">
      <w:pPr>
        <w:jc w:val="both"/>
        <w:rPr>
          <w:rFonts w:ascii="Arial" w:hAnsi="Arial" w:cs="Arial"/>
        </w:rPr>
      </w:pPr>
      <w:r>
        <w:rPr>
          <w:rFonts w:ascii="Arial" w:hAnsi="Arial" w:cs="Arial"/>
        </w:rPr>
        <w:t xml:space="preserve">Redshaw’s </w:t>
      </w:r>
      <w:r w:rsidR="00C65EDE">
        <w:rPr>
          <w:rFonts w:ascii="Arial" w:hAnsi="Arial" w:cs="Arial"/>
        </w:rPr>
        <w:t xml:space="preserve">3 March 2025 Weekly Report pronounced a </w:t>
      </w:r>
      <w:r w:rsidR="00262C61">
        <w:rPr>
          <w:rFonts w:ascii="Arial" w:hAnsi="Arial" w:cs="Arial"/>
        </w:rPr>
        <w:t>N</w:t>
      </w:r>
      <w:r w:rsidR="00C65EDE">
        <w:rPr>
          <w:rFonts w:ascii="Arial" w:hAnsi="Arial" w:cs="Arial"/>
        </w:rPr>
        <w:t>eutral-</w:t>
      </w:r>
      <w:r w:rsidR="00262C61">
        <w:rPr>
          <w:rFonts w:ascii="Arial" w:hAnsi="Arial" w:cs="Arial"/>
        </w:rPr>
        <w:t>B</w:t>
      </w:r>
      <w:r w:rsidR="00C65EDE">
        <w:rPr>
          <w:rFonts w:ascii="Arial" w:hAnsi="Arial" w:cs="Arial"/>
        </w:rPr>
        <w:t xml:space="preserve">earish outlook </w:t>
      </w:r>
      <w:r w:rsidR="00387DCD">
        <w:rPr>
          <w:rFonts w:ascii="Arial" w:hAnsi="Arial" w:cs="Arial"/>
        </w:rPr>
        <w:t>for UKA prices, citing that “</w:t>
      </w:r>
      <w:r w:rsidR="00387DCD" w:rsidRPr="00387DCD">
        <w:rPr>
          <w:rFonts w:ascii="Arial" w:hAnsi="Arial" w:cs="Arial"/>
          <w:i/>
          <w:iCs/>
        </w:rPr>
        <w:t>[t]</w:t>
      </w:r>
      <w:proofErr w:type="gramStart"/>
      <w:r w:rsidR="00387DCD" w:rsidRPr="00387DCD">
        <w:rPr>
          <w:rFonts w:ascii="Arial" w:hAnsi="Arial" w:cs="Arial"/>
          <w:i/>
          <w:iCs/>
        </w:rPr>
        <w:t>he</w:t>
      </w:r>
      <w:proofErr w:type="gramEnd"/>
      <w:r w:rsidR="00387DCD" w:rsidRPr="00387DCD">
        <w:rPr>
          <w:rFonts w:ascii="Arial" w:hAnsi="Arial" w:cs="Arial"/>
          <w:i/>
          <w:iCs/>
        </w:rPr>
        <w:t xml:space="preserve"> return of the bi-weekly auction and warmer temperatures towards the second half of the week are likely to weigh on prices</w:t>
      </w:r>
      <w:r w:rsidR="00387DCD" w:rsidRPr="00387DCD">
        <w:rPr>
          <w:rFonts w:ascii="Arial" w:hAnsi="Arial" w:cs="Arial"/>
        </w:rPr>
        <w:t>.</w:t>
      </w:r>
      <w:r w:rsidR="00387DCD">
        <w:rPr>
          <w:rFonts w:ascii="Arial" w:hAnsi="Arial" w:cs="Arial"/>
        </w:rPr>
        <w:t>”</w:t>
      </w:r>
      <w:r w:rsidR="000346FD">
        <w:rPr>
          <w:rFonts w:ascii="Arial" w:hAnsi="Arial" w:cs="Arial"/>
        </w:rPr>
        <w:t xml:space="preserve"> </w:t>
      </w:r>
    </w:p>
    <w:p w14:paraId="4542E1BB" w14:textId="68C7777D" w:rsidR="00BF58C4" w:rsidRDefault="000346FD" w:rsidP="001715AB">
      <w:pPr>
        <w:jc w:val="both"/>
        <w:rPr>
          <w:rFonts w:ascii="Arial" w:hAnsi="Arial" w:cs="Arial"/>
          <w:i/>
          <w:iCs/>
        </w:rPr>
      </w:pPr>
      <w:r>
        <w:rPr>
          <w:rFonts w:ascii="Arial" w:hAnsi="Arial" w:cs="Arial"/>
        </w:rPr>
        <w:t xml:space="preserve">However, it is important to note that </w:t>
      </w:r>
      <w:r w:rsidR="009762D5">
        <w:rPr>
          <w:rFonts w:ascii="Arial" w:hAnsi="Arial" w:cs="Arial"/>
        </w:rPr>
        <w:t xml:space="preserve">UKA price outlooks have been fluctuating on a weekly basis during </w:t>
      </w:r>
      <w:r w:rsidR="00BF58C4">
        <w:rPr>
          <w:rFonts w:ascii="Arial" w:hAnsi="Arial" w:cs="Arial"/>
        </w:rPr>
        <w:t>the past month. For example, the Redshaw 24 February 2025 outlook was Neutral-Bullish for UKAs</w:t>
      </w:r>
      <w:r w:rsidR="008C3A8A">
        <w:rPr>
          <w:rFonts w:ascii="Arial" w:hAnsi="Arial" w:cs="Arial"/>
        </w:rPr>
        <w:t xml:space="preserve"> citing the following: </w:t>
      </w:r>
      <w:r w:rsidR="008C3A8A" w:rsidRPr="00B31840">
        <w:rPr>
          <w:rFonts w:ascii="Arial" w:hAnsi="Arial" w:cs="Arial"/>
          <w:i/>
          <w:iCs/>
        </w:rPr>
        <w:t>Although the fundamental drivers remain largely unchanged, the bi-weekly auction hiatus, coupled with weaker renewable energy generation and slightly cooler temperatures, looks set to provide a platform for the bulls to build from.</w:t>
      </w:r>
    </w:p>
    <w:p w14:paraId="3B670051" w14:textId="77777777" w:rsidR="00922B9E" w:rsidRPr="00B31840" w:rsidRDefault="00922B9E" w:rsidP="001715AB">
      <w:pPr>
        <w:jc w:val="both"/>
        <w:rPr>
          <w:rFonts w:ascii="Arial" w:hAnsi="Arial" w:cs="Arial"/>
          <w:i/>
          <w:iCs/>
        </w:rPr>
      </w:pPr>
    </w:p>
    <w:p w14:paraId="3905E61B" w14:textId="3E683B9B" w:rsidR="0027314B" w:rsidRDefault="0027314B" w:rsidP="001715AB">
      <w:pPr>
        <w:jc w:val="both"/>
        <w:rPr>
          <w:rFonts w:ascii="Arial" w:hAnsi="Arial" w:cs="Arial"/>
        </w:rPr>
      </w:pPr>
      <w:r w:rsidRPr="00BC1F25">
        <w:rPr>
          <w:rFonts w:ascii="Arial" w:hAnsi="Arial" w:cs="Arial"/>
          <w:u w:val="single"/>
        </w:rPr>
        <w:t>M</w:t>
      </w:r>
      <w:r w:rsidR="002020EA" w:rsidRPr="00BC1F25">
        <w:rPr>
          <w:rFonts w:ascii="Arial" w:hAnsi="Arial" w:cs="Arial"/>
          <w:u w:val="single"/>
        </w:rPr>
        <w:t>arket Commentary</w:t>
      </w:r>
      <w:r w:rsidR="002020EA">
        <w:rPr>
          <w:rFonts w:ascii="Arial" w:hAnsi="Arial" w:cs="Arial"/>
        </w:rPr>
        <w:t xml:space="preserve">: </w:t>
      </w:r>
    </w:p>
    <w:p w14:paraId="5B409016" w14:textId="6C665EE1" w:rsidR="00922B9E" w:rsidRPr="00427AA8" w:rsidRDefault="00922B9E" w:rsidP="001715AB">
      <w:pPr>
        <w:jc w:val="both"/>
        <w:rPr>
          <w:rFonts w:ascii="Arial" w:hAnsi="Arial" w:cs="Arial"/>
        </w:rPr>
      </w:pPr>
      <w:r>
        <w:rPr>
          <w:rFonts w:ascii="Arial" w:hAnsi="Arial" w:cs="Arial"/>
        </w:rPr>
        <w:t xml:space="preserve">Redshaw (3 March 2025): </w:t>
      </w:r>
      <w:r w:rsidRPr="00922B9E">
        <w:rPr>
          <w:rFonts w:ascii="Arial" w:hAnsi="Arial" w:cs="Arial"/>
          <w:i/>
          <w:iCs/>
        </w:rPr>
        <w:t>Bearish momentum builds, as EUAs fall below the 100 day and 200 day moving average. Dip buying, technical trading and a short-term cold snap helped UKAs gain nearly £2.</w:t>
      </w:r>
    </w:p>
    <w:p w14:paraId="74A550CF" w14:textId="3E89B7F4" w:rsidR="00922B9E" w:rsidRPr="00427AA8" w:rsidRDefault="002020EA" w:rsidP="008F1740">
      <w:pPr>
        <w:jc w:val="both"/>
        <w:rPr>
          <w:rFonts w:ascii="Arial" w:hAnsi="Arial" w:cs="Arial"/>
        </w:rPr>
      </w:pPr>
      <w:r>
        <w:rPr>
          <w:rFonts w:ascii="Arial" w:hAnsi="Arial" w:cs="Arial"/>
        </w:rPr>
        <w:t>Vertis (</w:t>
      </w:r>
      <w:r w:rsidR="00427AA8">
        <w:rPr>
          <w:rFonts w:ascii="Arial" w:hAnsi="Arial" w:cs="Arial"/>
        </w:rPr>
        <w:t>25 February</w:t>
      </w:r>
      <w:r>
        <w:rPr>
          <w:rFonts w:ascii="Arial" w:hAnsi="Arial" w:cs="Arial"/>
        </w:rPr>
        <w:t xml:space="preserve"> 2025): </w:t>
      </w:r>
      <w:r w:rsidRPr="002020EA">
        <w:rPr>
          <w:rFonts w:ascii="Arial" w:hAnsi="Arial" w:cs="Arial"/>
          <w:i/>
          <w:iCs/>
        </w:rPr>
        <w:t>On the regulatory side, last Thursday, the UK Authority announced a 14% drop in UK Free Allocation for 2025 compared to 2024, reducing allowances by 4.8 million. This bullish signal for the UK ETS may have contributed to the market stabilizing on Friday, alongside support holding at the £40 level.</w:t>
      </w:r>
      <w:r w:rsidR="00427AA8">
        <w:rPr>
          <w:rFonts w:ascii="Arial" w:hAnsi="Arial" w:cs="Arial"/>
          <w:i/>
          <w:iCs/>
        </w:rPr>
        <w:t xml:space="preserve"> </w:t>
      </w:r>
    </w:p>
    <w:sectPr w:rsidR="00922B9E" w:rsidRPr="00427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4D75D3"/>
    <w:multiLevelType w:val="hybridMultilevel"/>
    <w:tmpl w:val="0014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033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5C8"/>
    <w:rsid w:val="0001658F"/>
    <w:rsid w:val="00016E27"/>
    <w:rsid w:val="000346FD"/>
    <w:rsid w:val="000417B1"/>
    <w:rsid w:val="000E5DF5"/>
    <w:rsid w:val="001500CF"/>
    <w:rsid w:val="001715AB"/>
    <w:rsid w:val="0018452B"/>
    <w:rsid w:val="002020EA"/>
    <w:rsid w:val="0020453A"/>
    <w:rsid w:val="00262C61"/>
    <w:rsid w:val="0027314B"/>
    <w:rsid w:val="00354127"/>
    <w:rsid w:val="00381006"/>
    <w:rsid w:val="00387DCD"/>
    <w:rsid w:val="003B5C5C"/>
    <w:rsid w:val="003F610B"/>
    <w:rsid w:val="00427AA8"/>
    <w:rsid w:val="00503E8C"/>
    <w:rsid w:val="00653265"/>
    <w:rsid w:val="006A2C58"/>
    <w:rsid w:val="00714679"/>
    <w:rsid w:val="00744F1E"/>
    <w:rsid w:val="00776436"/>
    <w:rsid w:val="007F408F"/>
    <w:rsid w:val="008142F0"/>
    <w:rsid w:val="008435DA"/>
    <w:rsid w:val="008B52D4"/>
    <w:rsid w:val="008C0DCD"/>
    <w:rsid w:val="008C3A8A"/>
    <w:rsid w:val="008F1740"/>
    <w:rsid w:val="00922B9E"/>
    <w:rsid w:val="009762D5"/>
    <w:rsid w:val="009F75C8"/>
    <w:rsid w:val="00AF1A13"/>
    <w:rsid w:val="00B31840"/>
    <w:rsid w:val="00B62FE8"/>
    <w:rsid w:val="00BC1F25"/>
    <w:rsid w:val="00BE162F"/>
    <w:rsid w:val="00BF58C4"/>
    <w:rsid w:val="00C65EDE"/>
    <w:rsid w:val="00D62B51"/>
    <w:rsid w:val="00DC0A27"/>
    <w:rsid w:val="00E541E9"/>
    <w:rsid w:val="00F64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2355"/>
  <w15:chartTrackingRefBased/>
  <w15:docId w15:val="{458A544D-3F82-4EF5-B93C-3286EF79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7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7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7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7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7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7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7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7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7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7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5C8"/>
    <w:rPr>
      <w:rFonts w:eastAsiaTheme="majorEastAsia" w:cstheme="majorBidi"/>
      <w:color w:val="272727" w:themeColor="text1" w:themeTint="D8"/>
    </w:rPr>
  </w:style>
  <w:style w:type="paragraph" w:styleId="Title">
    <w:name w:val="Title"/>
    <w:basedOn w:val="Normal"/>
    <w:next w:val="Normal"/>
    <w:link w:val="TitleChar"/>
    <w:uiPriority w:val="10"/>
    <w:qFormat/>
    <w:rsid w:val="009F7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5C8"/>
    <w:pPr>
      <w:spacing w:before="160"/>
      <w:jc w:val="center"/>
    </w:pPr>
    <w:rPr>
      <w:i/>
      <w:iCs/>
      <w:color w:val="404040" w:themeColor="text1" w:themeTint="BF"/>
    </w:rPr>
  </w:style>
  <w:style w:type="character" w:customStyle="1" w:styleId="QuoteChar">
    <w:name w:val="Quote Char"/>
    <w:basedOn w:val="DefaultParagraphFont"/>
    <w:link w:val="Quote"/>
    <w:uiPriority w:val="29"/>
    <w:rsid w:val="009F75C8"/>
    <w:rPr>
      <w:i/>
      <w:iCs/>
      <w:color w:val="404040" w:themeColor="text1" w:themeTint="BF"/>
    </w:rPr>
  </w:style>
  <w:style w:type="paragraph" w:styleId="ListParagraph">
    <w:name w:val="List Paragraph"/>
    <w:basedOn w:val="Normal"/>
    <w:uiPriority w:val="34"/>
    <w:qFormat/>
    <w:rsid w:val="009F75C8"/>
    <w:pPr>
      <w:ind w:left="720"/>
      <w:contextualSpacing/>
    </w:pPr>
  </w:style>
  <w:style w:type="character" w:styleId="IntenseEmphasis">
    <w:name w:val="Intense Emphasis"/>
    <w:basedOn w:val="DefaultParagraphFont"/>
    <w:uiPriority w:val="21"/>
    <w:qFormat/>
    <w:rsid w:val="009F75C8"/>
    <w:rPr>
      <w:i/>
      <w:iCs/>
      <w:color w:val="0F4761" w:themeColor="accent1" w:themeShade="BF"/>
    </w:rPr>
  </w:style>
  <w:style w:type="paragraph" w:styleId="IntenseQuote">
    <w:name w:val="Intense Quote"/>
    <w:basedOn w:val="Normal"/>
    <w:next w:val="Normal"/>
    <w:link w:val="IntenseQuoteChar"/>
    <w:uiPriority w:val="30"/>
    <w:qFormat/>
    <w:rsid w:val="009F7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5C8"/>
    <w:rPr>
      <w:i/>
      <w:iCs/>
      <w:color w:val="0F4761" w:themeColor="accent1" w:themeShade="BF"/>
    </w:rPr>
  </w:style>
  <w:style w:type="character" w:styleId="IntenseReference">
    <w:name w:val="Intense Reference"/>
    <w:basedOn w:val="DefaultParagraphFont"/>
    <w:uiPriority w:val="32"/>
    <w:qFormat/>
    <w:rsid w:val="009F75C8"/>
    <w:rPr>
      <w:b/>
      <w:bCs/>
      <w:smallCaps/>
      <w:color w:val="0F4761" w:themeColor="accent1" w:themeShade="BF"/>
      <w:spacing w:val="5"/>
    </w:rPr>
  </w:style>
  <w:style w:type="character" w:styleId="Hyperlink">
    <w:name w:val="Hyperlink"/>
    <w:basedOn w:val="DefaultParagraphFont"/>
    <w:uiPriority w:val="99"/>
    <w:unhideWhenUsed/>
    <w:rsid w:val="00653265"/>
    <w:rPr>
      <w:color w:val="467886" w:themeColor="hyperlink"/>
      <w:u w:val="single"/>
    </w:rPr>
  </w:style>
  <w:style w:type="character" w:styleId="UnresolvedMention">
    <w:name w:val="Unresolved Mention"/>
    <w:basedOn w:val="DefaultParagraphFont"/>
    <w:uiPriority w:val="99"/>
    <w:semiHidden/>
    <w:unhideWhenUsed/>
    <w:rsid w:val="00653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uters.com/sustainability/climate-energy/uk-carbon-prices-close-135-higher-eu-linking-talks-report-2025-01-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dc:creator>
  <cp:keywords/>
  <dc:description/>
  <cp:lastModifiedBy>Intern</cp:lastModifiedBy>
  <cp:revision>2</cp:revision>
  <dcterms:created xsi:type="dcterms:W3CDTF">2025-03-03T20:46:00Z</dcterms:created>
  <dcterms:modified xsi:type="dcterms:W3CDTF">2025-03-03T20:46:00Z</dcterms:modified>
</cp:coreProperties>
</file>