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Operation of PROBE08 (Accretech UF200R) and PROBE02 (Electroglas 2001X): Operation and Tips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
                <a:graphic>
                  <a:graphicData uri="http://schemas.microsoft.com/office/word/2010/wordprocessingShape">
                    <wps:wsp>
                      <wps:cNvSpPr/>
                      <wps:cNvPr id="21" name="Shape 2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image59.png"/>
                <a:graphic>
                  <a:graphicData uri="http://schemas.openxmlformats.org/drawingml/2006/picture">
                    <pic:pic>
                      <pic:nvPicPr>
                        <pic:cNvPr id="0" name="image59.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the Accretech UF200R Fully Automatic Prober installed in Bay 12.</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0">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using the Accretech UF200R to probe wafers.</w:t>
      </w: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1"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Compliance to a specification is not part of this document.</w:t>
      </w:r>
    </w:p>
    <w:p w:rsidR="00000000" w:rsidDel="00000000" w:rsidP="00000000" w:rsidRDefault="00000000" w:rsidRPr="00000000" w14:paraId="0000002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Project specific instructions are not part of this document.</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6">
      <w:pPr>
        <w:pStyle w:val="Heading1"/>
        <w:numPr>
          <w:ilvl w:val="0"/>
          <w:numId w:val="1"/>
        </w:numPr>
        <w:tabs>
          <w:tab w:val="left" w:leader="none" w:pos="696"/>
        </w:tabs>
        <w:ind w:left="696" w:hanging="370"/>
        <w:rPr/>
      </w:pPr>
      <w:r w:rsidDel="00000000" w:rsidR="00000000" w:rsidRPr="00000000">
        <w:rPr>
          <w:rtl w:val="0"/>
        </w:rPr>
        <w:t xml:space="preserve">References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1">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SOP-17 Manufacturing Processes and Process Control Procedure</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SOP-15 Control of Records</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hyperlink r:id="rId13">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ECP-217 Prober Equipment Control Plan</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C">
      <w:pPr>
        <w:pStyle w:val="Heading1"/>
        <w:numPr>
          <w:ilvl w:val="0"/>
          <w:numId w:val="1"/>
        </w:numPr>
        <w:tabs>
          <w:tab w:val="left" w:leader="none" w:pos="696"/>
        </w:tabs>
        <w:ind w:left="696" w:hanging="370"/>
        <w:rPr/>
      </w:pPr>
      <w:sdt>
        <w:sdtPr>
          <w:id w:val="-1725478058"/>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D">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3091051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EMO</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Emergency Off. The kill-switch button which should be pressed to cut power to the tool in the event of an emergency.</w:t>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DMM</w:t>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Digital Multimeter. Electronic test tool for taking precise measurements of voltage, resistance, current and capacitance.</w:t>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SMU</w:t>
            </w:r>
          </w:p>
        </w:tc>
        <w:tc>
          <w:tcPr>
            <w:tcBorders>
              <w:top w:color="bebebe" w:space="0" w:sz="6" w:val="single"/>
              <w:left w:color="bebebe" w:space="0" w:sz="6" w:val="single"/>
            </w:tcBorders>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Source Measure Unit. Electronic test tool which can source voltage/current while measuring voltage/current.</w:t>
            </w:r>
          </w:p>
        </w:tc>
      </w:tr>
    </w:tbl>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B">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2" name=""/>
                <a:graphic>
                  <a:graphicData uri="http://schemas.microsoft.com/office/word/2010/wordprocessingShape">
                    <wps:wsp>
                      <wps:cNvSpPr/>
                      <wps:cNvPr id="33" name="Shape 3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2" name="image86.png"/>
                <a:graphic>
                  <a:graphicData uri="http://schemas.openxmlformats.org/drawingml/2006/picture">
                    <pic:pic>
                      <pic:nvPicPr>
                        <pic:cNvPr id="0" name="image8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sectPr>
          <w:type w:val="nextPage"/>
          <w:pgSz w:h="16840" w:w="11900" w:orient="portrait"/>
          <w:pgMar w:bottom="840" w:top="1100" w:left="1020" w:right="1020" w:header="824" w:footer="643"/>
        </w:sect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
                <a:graphic>
                  <a:graphicData uri="http://schemas.microsoft.com/office/word/2010/wordprocessingShape">
                    <wps:wsp>
                      <wps:cNvSpPr/>
                      <wps:cNvPr id="29" name="Shape 2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image81.png"/>
                <a:graphic>
                  <a:graphicData uri="http://schemas.openxmlformats.org/drawingml/2006/picture">
                    <pic:pic>
                      <pic:nvPicPr>
                        <pic:cNvPr id="0" name="image81.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Accuprobe Program-Specific Probe Cards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sectPr>
          <w:type w:val="nextPage"/>
          <w:pgSz w:h="16840" w:w="11900" w:orient="portrait"/>
          <w:pgMar w:bottom="840" w:top="1100" w:left="1020" w:right="1020" w:header="824" w:footer="643"/>
        </w:sect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
                <a:graphic>
                  <a:graphicData uri="http://schemas.microsoft.com/office/word/2010/wordprocessingShape">
                    <wps:wsp>
                      <wps:cNvSpPr/>
                      <wps:cNvPr id="36" name="Shape 3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image98.png"/>
                <a:graphic>
                  <a:graphicData uri="http://schemas.openxmlformats.org/drawingml/2006/picture">
                    <pic:pic>
                      <pic:nvPicPr>
                        <pic:cNvPr id="0" name="image9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sectPr>
          <w:type w:val="nextPage"/>
          <w:pgSz w:h="16840" w:w="11900" w:orient="portrait"/>
          <w:pgMar w:bottom="840" w:top="1100" w:left="1020" w:right="1020" w:header="824" w:footer="643"/>
        </w:sect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
                <a:graphic>
                  <a:graphicData uri="http://schemas.microsoft.com/office/word/2010/wordprocessingShape">
                    <wps:wsp>
                      <wps:cNvSpPr/>
                      <wps:cNvPr id="22" name="Shape 2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image62.png"/>
                <a:graphic>
                  <a:graphicData uri="http://schemas.openxmlformats.org/drawingml/2006/picture">
                    <pic:pic>
                      <pic:nvPicPr>
                        <pic:cNvPr id="0" name="image6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
                <a:graphic>
                  <a:graphicData uri="http://schemas.microsoft.com/office/word/2010/wordprocessingShape">
                    <wps:wsp>
                      <wps:cNvSpPr/>
                      <wps:cNvPr id="35" name="Shape 3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image97.png"/>
                <a:graphic>
                  <a:graphicData uri="http://schemas.openxmlformats.org/drawingml/2006/picture">
                    <pic:pic>
                      <pic:nvPicPr>
                        <pic:cNvPr id="0" name="image9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sectPr>
          <w:type w:val="nextPage"/>
          <w:pgSz w:h="16840" w:w="11900" w:orient="portrait"/>
          <w:pgMar w:bottom="840" w:top="1100" w:left="1020" w:right="1020" w:header="824" w:footer="643"/>
        </w:sect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
                <a:graphic>
                  <a:graphicData uri="http://schemas.microsoft.com/office/word/2010/wordprocessingShape">
                    <wps:wsp>
                      <wps:cNvSpPr/>
                      <wps:cNvPr id="24" name="Shape 2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image64.png"/>
                <a:graphic>
                  <a:graphicData uri="http://schemas.openxmlformats.org/drawingml/2006/picture">
                    <pic:pic>
                      <pic:nvPicPr>
                        <pic:cNvPr id="0" name="image6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sectPr>
          <w:type w:val="nextPage"/>
          <w:pgSz w:h="16840" w:w="11900" w:orient="portrait"/>
          <w:pgMar w:bottom="840" w:top="1100" w:left="1020" w:right="1020" w:header="824" w:footer="643"/>
        </w:sect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
                <a:graphic>
                  <a:graphicData uri="http://schemas.microsoft.com/office/word/2010/wordprocessingShape">
                    <wps:wsp>
                      <wps:cNvSpPr/>
                      <wps:cNvPr id="39" name="Shape 3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image107.png"/>
                <a:graphic>
                  <a:graphicData uri="http://schemas.openxmlformats.org/drawingml/2006/picture">
                    <pic:pic>
                      <pic:nvPicPr>
                        <pic:cNvPr id="0" name="image10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
                <a:graphic>
                  <a:graphicData uri="http://schemas.microsoft.com/office/word/2010/wordprocessingShape">
                    <wps:wsp>
                      <wps:cNvSpPr/>
                      <wps:cNvPr id="11" name="Shape 1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sectPr>
          <w:type w:val="nextPage"/>
          <w:pgSz w:h="16840" w:w="11900" w:orient="portrait"/>
          <w:pgMar w:bottom="840" w:top="1100" w:left="1020" w:right="1020" w:header="824" w:footer="643"/>
        </w:sect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
                <a:graphic>
                  <a:graphicData uri="http://schemas.microsoft.com/office/word/2010/wordprocessingShape">
                    <wps:wsp>
                      <wps:cNvSpPr/>
                      <wps:cNvPr id="16" name="Shape 1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sectPr>
          <w:type w:val="nextPage"/>
          <w:pgSz w:h="16840" w:w="11900" w:orient="portrait"/>
          <w:pgMar w:bottom="840" w:top="1100" w:left="1020" w:right="1020" w:header="824" w:footer="643"/>
        </w:sect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
                <a:graphic>
                  <a:graphicData uri="http://schemas.microsoft.com/office/word/2010/wordprocessingShape">
                    <wps:wsp>
                      <wps:cNvSpPr/>
                      <wps:cNvPr id="25" name="Shape 2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image65.png"/>
                <a:graphic>
                  <a:graphicData uri="http://schemas.openxmlformats.org/drawingml/2006/picture">
                    <pic:pic>
                      <pic:nvPicPr>
                        <pic:cNvPr id="0" name="image6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sectPr>
          <w:type w:val="nextPage"/>
          <w:pgSz w:h="16840" w:w="11900" w:orient="portrait"/>
          <w:pgMar w:bottom="840" w:top="1100" w:left="1020" w:right="1020" w:header="824" w:footer="643"/>
        </w:sect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
                <a:graphic>
                  <a:graphicData uri="http://schemas.microsoft.com/office/word/2010/wordprocessingShape">
                    <wps:wsp>
                      <wps:cNvSpPr/>
                      <wps:cNvPr id="7" name="Shape 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sectPr>
          <w:type w:val="nextPage"/>
          <w:pgSz w:h="16840" w:w="11900" w:orient="portrait"/>
          <w:pgMar w:bottom="840" w:top="1100" w:left="1020" w:right="1020" w:header="824" w:footer="643"/>
        </w:sect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
                <a:graphic>
                  <a:graphicData uri="http://schemas.microsoft.com/office/word/2010/wordprocessingShape">
                    <wps:wsp>
                      <wps:cNvSpPr/>
                      <wps:cNvPr id="12" name="Shape 1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image36.png"/>
                <a:graphic>
                  <a:graphicData uri="http://schemas.openxmlformats.org/drawingml/2006/picture">
                    <pic:pic>
                      <pic:nvPicPr>
                        <pic:cNvPr id="0" name="image3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
                <a:graphic>
                  <a:graphicData uri="http://schemas.microsoft.com/office/word/2010/wordprocessingShape">
                    <wps:wsp>
                      <wps:cNvSpPr/>
                      <wps:cNvPr id="37" name="Shape 3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image103.png"/>
                <a:graphic>
                  <a:graphicData uri="http://schemas.openxmlformats.org/drawingml/2006/picture">
                    <pic:pic>
                      <pic:nvPicPr>
                        <pic:cNvPr id="0" name="image10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
                <a:graphic>
                  <a:graphicData uri="http://schemas.microsoft.com/office/word/2010/wordprocessingShape">
                    <wps:wsp>
                      <wps:cNvSpPr/>
                      <wps:cNvPr id="32" name="Shape 3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image85.png"/>
                <a:graphic>
                  <a:graphicData uri="http://schemas.openxmlformats.org/drawingml/2006/picture">
                    <pic:pic>
                      <pic:nvPicPr>
                        <pic:cNvPr id="0" name="image85.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
                <a:graphic>
                  <a:graphicData uri="http://schemas.microsoft.com/office/word/2010/wordprocessingShape">
                    <wps:wsp>
                      <wps:cNvSpPr/>
                      <wps:cNvPr id="19" name="Shape 1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image50.png"/>
                <a:graphic>
                  <a:graphicData uri="http://schemas.openxmlformats.org/drawingml/2006/picture">
                    <pic:pic>
                      <pic:nvPicPr>
                        <pic:cNvPr id="0" name="image5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
                <a:graphic>
                  <a:graphicData uri="http://schemas.microsoft.com/office/word/2010/wordprocessingShape">
                    <wps:wsp>
                      <wps:cNvSpPr/>
                      <wps:cNvPr id="18" name="Shape 1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image47.png"/>
                <a:graphic>
                  <a:graphicData uri="http://schemas.openxmlformats.org/drawingml/2006/picture">
                    <pic:pic>
                      <pic:nvPicPr>
                        <pic:cNvPr id="0" name="image4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
                <a:graphic>
                  <a:graphicData uri="http://schemas.microsoft.com/office/word/2010/wordprocessingShape">
                    <wps:wsp>
                      <wps:cNvSpPr/>
                      <wps:cNvPr id="9" name="Shape 9"/>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w:t>
      </w:r>
      <w:r w:rsidDel="00000000" w:rsidR="00000000" w:rsidRPr="00000000">
        <w:rPr>
          <w:sz w:val="21"/>
          <w:szCs w:val="21"/>
          <w:rtl w:val="0"/>
        </w:rPr>
        <w:t xml:space="preserve">instruments are connected, verify working directory is correct.</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Load program specific ATA folder</w:t>
      </w:r>
      <w:r w:rsidDel="00000000" w:rsidR="00000000" w:rsidRPr="00000000">
        <w:rPr>
          <w:sz w:val="21"/>
          <w:szCs w:val="21"/>
          <w:rtl w:val="0"/>
        </w:rPr>
        <w:t xml:space="preserve"> (e.g. Lamp, Maddy, etc.)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sectPr>
          <w:type w:val="nextPage"/>
          <w:pgSz w:h="16840" w:w="11900" w:orient="portrait"/>
          <w:pgMar w:bottom="840" w:top="1100" w:left="1020" w:right="1020" w:header="824" w:footer="643"/>
        </w:sect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
                <a:graphic>
                  <a:graphicData uri="http://schemas.microsoft.com/office/word/2010/wordprocessingShape">
                    <wps:wsp>
                      <wps:cNvSpPr/>
                      <wps:cNvPr id="28" name="Shape 2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image80.png"/>
                <a:graphic>
                  <a:graphicData uri="http://schemas.openxmlformats.org/drawingml/2006/picture">
                    <pic:pic>
                      <pic:nvPicPr>
                        <pic:cNvPr id="0" name="image80.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
                <a:graphic>
                  <a:graphicData uri="http://schemas.microsoft.com/office/word/2010/wordprocessingShape">
                    <wps:wsp>
                      <wps:cNvSpPr/>
                      <wps:cNvPr id="38" name="Shape 3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image104.png"/>
                <a:graphic>
                  <a:graphicData uri="http://schemas.openxmlformats.org/drawingml/2006/picture">
                    <pic:pic>
                      <pic:nvPicPr>
                        <pic:cNvPr id="0" name="image10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For directions on unloading wafers using CASSETTE, refer to steps following</w:t>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
                <a:graphic>
                  <a:graphicData uri="http://schemas.microsoft.com/office/word/2010/wordprocessingShape">
                    <wps:wsp>
                      <wps:cNvSpPr/>
                      <wps:cNvPr id="20" name="Shape 2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image53.png"/>
                <a:graphic>
                  <a:graphicData uri="http://schemas.openxmlformats.org/drawingml/2006/picture">
                    <pic:pic>
                      <pic:nvPicPr>
                        <pic:cNvPr id="0" name="image5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
                <a:graphic>
                  <a:graphicData uri="http://schemas.microsoft.com/office/word/2010/wordprocessingShape">
                    <wps:wsp>
                      <wps:cNvSpPr/>
                      <wps:cNvPr id="31" name="Shape 31"/>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image83.png"/>
                <a:graphic>
                  <a:graphicData uri="http://schemas.openxmlformats.org/drawingml/2006/picture">
                    <pic:pic>
                      <pic:nvPicPr>
                        <pic:cNvPr id="0" name="image8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sectPr>
          <w:type w:val="nextPage"/>
          <w:pgSz w:h="16840" w:w="11900" w:orient="portrait"/>
          <w:pgMar w:bottom="840" w:top="1100" w:left="1020" w:right="1020" w:header="824" w:footer="643"/>
        </w:sect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
                <a:graphic>
                  <a:graphicData uri="http://schemas.microsoft.com/office/word/2010/wordprocessingShape">
                    <wps:wsp>
                      <wps:cNvSpPr/>
                      <wps:cNvPr id="23" name="Shape 2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image63.png"/>
                <a:graphic>
                  <a:graphicData uri="http://schemas.openxmlformats.org/drawingml/2006/picture">
                    <pic:pic>
                      <pic:nvPicPr>
                        <pic:cNvPr id="0" name="image63.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
                <a:graphic>
                  <a:graphicData uri="http://schemas.microsoft.com/office/word/2010/wordprocessingShape">
                    <wps:wsp>
                      <wps:cNvSpPr/>
                      <wps:cNvPr id="14" name="Shape 1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Proceed with probing by following procedure starting at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above.</w:t>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sectPr>
          <w:type w:val="nextPage"/>
          <w:pgSz w:h="16840" w:w="11900" w:orient="portrait"/>
          <w:pgMar w:bottom="840" w:top="1100" w:left="1020" w:right="1020" w:header="824" w:footer="643"/>
        </w:sect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
                <a:graphic>
                  <a:graphicData uri="http://schemas.microsoft.com/office/word/2010/wordprocessingShape">
                    <wps:wsp>
                      <wps:cNvSpPr/>
                      <wps:cNvPr id="27" name="Shape 27"/>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image72.png"/>
                <a:graphic>
                  <a:graphicData uri="http://schemas.openxmlformats.org/drawingml/2006/picture">
                    <pic:pic>
                      <pic:nvPicPr>
                        <pic:cNvPr id="0" name="image7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
                <a:graphic>
                  <a:graphicData uri="http://schemas.microsoft.com/office/word/2010/wordprocessingShape">
                    <wps:wsp>
                      <wps:cNvSpPr/>
                      <wps:cNvPr id="13" name="Shape 1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image37.png"/>
                <a:graphic>
                  <a:graphicData uri="http://schemas.openxmlformats.org/drawingml/2006/picture">
                    <pic:pic>
                      <pic:nvPicPr>
                        <pic:cNvPr id="0" name="image37.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sectPr>
          <w:type w:val="nextPage"/>
          <w:pgSz w:h="16840" w:w="11900" w:orient="portrait"/>
          <w:pgMar w:bottom="840" w:top="1100" w:left="1020" w:right="1020" w:header="824" w:footer="643"/>
        </w:sect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
                <a:graphic>
                  <a:graphicData uri="http://schemas.microsoft.com/office/word/2010/wordprocessingShape">
                    <wps:wsp>
                      <wps:cNvSpPr/>
                      <wps:cNvPr id="30" name="Shape 3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image82.png"/>
                <a:graphic>
                  <a:graphicData uri="http://schemas.openxmlformats.org/drawingml/2006/picture">
                    <pic:pic>
                      <pic:nvPicPr>
                        <pic:cNvPr id="0" name="image82.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Release Qualification / Gage Monitor:</w:t>
      </w:r>
    </w:p>
    <w:p w:rsidR="00000000" w:rsidDel="00000000" w:rsidP="00000000" w:rsidRDefault="00000000" w:rsidRPr="00000000" w14:paraId="000001D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Install the Maddy probe card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8.2 Changing Probe Card</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gage wafer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MAD-X-008-13B3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using the front access door per Section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 Starting Probe Routine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until step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8.3.18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Open executable and load the Maddy ATA folder, then load the Maddy TL recipe for the MADX probe card (which should be installed already)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6">
      <w:pPr>
        <w:pStyle w:val="Heading3"/>
        <w:spacing w:before="1" w:lineRule="auto"/>
        <w:ind w:left="1892" w:firstLine="0"/>
        <w:rPr/>
      </w:pPr>
      <w:r w:rsidDel="00000000" w:rsidR="00000000" w:rsidRPr="00000000">
        <w:rPr>
          <w:rtl w:val="0"/>
        </w:rPr>
        <w:t xml:space="preserve">Figure 9a: When Ready to Probe, Run the MADDY LabVIEW Executable</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center"/>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b w:val="1"/>
          <w:bCs w:val="1"/>
          <w:i w:val="1"/>
          <w:iCs w:val="1"/>
          <w:sz w:val="17"/>
          <w:szCs w:val="17"/>
        </w:rPr>
        <w:drawing>
          <wp:inline distB="114300" distT="114300" distL="114300" distR="114300">
            <wp:extent cx="4657725" cy="666750"/>
            <wp:effectExtent b="0" l="0" r="0" t="0"/>
            <wp:docPr id="92"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465772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 t</w:t>
      </w:r>
      <w:r w:rsidDel="00000000" w:rsidR="00000000" w:rsidRPr="00000000">
        <w:rPr>
          <w:sz w:val="21"/>
          <w:szCs w:val="21"/>
          <w:rtl w:val="0"/>
        </w:rPr>
        <w:t xml:space="preserve">he results tab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enter the LOT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and WAFER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13B3</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Press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Test DIE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sz w:val="21"/>
          <w:szCs w:val="21"/>
          <w:rtl w:val="0"/>
        </w:rPr>
        <w:t xml:space="preserve">to start probing.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spacing w:before="1" w:lineRule="auto"/>
        <w:ind w:left="2273" w:firstLine="0"/>
        <w:rPr/>
        <w:sectPr>
          <w:type w:val="nextPage"/>
          <w:pgSz w:h="16840" w:w="11900" w:orient="portrait"/>
          <w:pgMar w:bottom="840" w:top="1100" w:left="1020" w:right="1020" w:header="824" w:footer="643"/>
        </w:sectPr>
      </w:pPr>
      <w:r w:rsidDel="00000000" w:rsidR="00000000" w:rsidRPr="00000000">
        <w:rPr>
          <w:rtl w:val="0"/>
        </w:rPr>
        <w:t xml:space="preserve">Figure 9b: </w:t>
      </w:r>
    </w:p>
    <w:p w:rsidR="00000000" w:rsidDel="00000000" w:rsidP="00000000" w:rsidRDefault="00000000" w:rsidRPr="00000000" w14:paraId="000001DC">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DD">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
                <a:graphic>
                  <a:graphicData uri="http://schemas.microsoft.com/office/word/2010/wordprocessingShape">
                    <wps:wsp>
                      <wps:cNvSpPr/>
                      <wps:cNvPr id="34" name="Shape 3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image96.png"/>
                <a:graphic>
                  <a:graphicData uri="http://schemas.openxmlformats.org/drawingml/2006/picture">
                    <pic:pic>
                      <pic:nvPicPr>
                        <pic:cNvPr id="0" name="image96.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is complete, unload the wafer per steps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8.3.23 - 8.3.26</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sz w:val="21"/>
          <w:szCs w:val="21"/>
          <w:rtl w:val="0"/>
        </w:rPr>
        <w:t xml:space="preserve">Go to results tab and save csv.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data file saved at default </w:t>
      </w:r>
      <w:r w:rsidDel="00000000" w:rsidR="00000000" w:rsidRPr="00000000">
        <w:rPr>
          <w:sz w:val="21"/>
          <w:szCs w:val="21"/>
          <w:rtl w:val="0"/>
        </w:rPr>
        <w:t xml:space="preserve">file path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\\prober\ETL\RAWDATA\PROBE08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4">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E5">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
                <a:graphic>
                  <a:graphicData uri="http://schemas.microsoft.com/office/word/2010/wordprocessingShape">
                    <wps:wsp>
                      <wps:cNvSpPr/>
                      <wps:cNvPr id="8" name="Shape 8"/>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ind w:left="331" w:firstLine="0"/>
        <w:jc w:val="center"/>
        <w:rPr/>
      </w:pPr>
      <w:r w:rsidDel="00000000" w:rsidR="00000000" w:rsidRPr="00000000">
        <w:rPr>
          <w:rtl w:val="0"/>
        </w:rPr>
        <w:t xml:space="preserve">Figure 9c: Gage Wafer Data Files on Prober</w:t>
      </w:r>
    </w:p>
    <w:p w:rsidR="00000000" w:rsidDel="00000000" w:rsidP="00000000" w:rsidRDefault="00000000" w:rsidRPr="00000000" w14:paraId="000001E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219" w:line="242" w:lineRule="auto"/>
        <w:ind w:left="1019" w:right="2079"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Save a copy of the data file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 a lab PC. Rename the file as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savedatahere.csv</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-352424</wp:posOffset>
            </wp:positionH>
            <wp:positionV relativeFrom="paragraph">
              <wp:posOffset>19050</wp:posOffset>
            </wp:positionV>
            <wp:extent cx="6919913" cy="3019425"/>
            <wp:effectExtent b="0" l="0" r="0" t="0"/>
            <wp:wrapTopAndBottom distB="0" distT="0"/>
            <wp:docPr id="67"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E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1" w:line="242" w:lineRule="auto"/>
        <w:ind w:left="1019" w:right="14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SPC Chart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(navigate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IMT Equip/Proc/IQA Mon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GAGES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Press the “Add Data” button to upload data from the data file in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Verify the data then press “Save”.</w:t>
      </w:r>
    </w:p>
    <w:p w:rsidR="00000000" w:rsidDel="00000000" w:rsidP="00000000" w:rsidRDefault="00000000" w:rsidRPr="00000000" w14:paraId="000001E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3" w:line="271" w:lineRule="auto"/>
        <w:ind w:left="1019" w:right="863"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data to </w:t>
      </w:r>
      <w:r w:rsidDel="00000000" w:rsidR="00000000" w:rsidRPr="00000000">
        <w:rPr>
          <w:sz w:val="21"/>
          <w:szCs w:val="21"/>
          <w:rtl w:val="0"/>
        </w:rPr>
        <w:t xml:space="preserve">verify the process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is in control. Put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down in MES if data is out of control limits.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ED">
      <w:pPr>
        <w:pStyle w:val="Heading1"/>
        <w:numPr>
          <w:ilvl w:val="0"/>
          <w:numId w:val="1"/>
        </w:numPr>
        <w:tabs>
          <w:tab w:val="left" w:leader="none" w:pos="887"/>
        </w:tabs>
        <w:ind w:left="887" w:hanging="561"/>
        <w:rPr/>
      </w:pPr>
      <w:r w:rsidDel="00000000" w:rsidR="00000000" w:rsidRPr="00000000">
        <w:rPr>
          <w:rtl w:val="0"/>
        </w:rPr>
        <w:t xml:space="preserve">Records</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hyperlink r:id="rId82">
        <w:r w:rsidDel="00000000" w:rsidR="00000000" w:rsidRPr="00000000">
          <w:rPr>
            <w:rFonts w:ascii="Arial" w:cs="Arial" w:eastAsia="Arial" w:hAnsi="Arial"/>
            <w:b w:val="0"/>
            <w:bCs w:val="0"/>
            <w:i w:val="0"/>
            <w:iCs w:val="0"/>
            <w:smallCaps w:val="0"/>
            <w:strike w:val="0"/>
            <w:color w:val="0069ff"/>
            <w:sz w:val="21"/>
            <w:szCs w:val="21"/>
            <w:u w:val="none"/>
            <w:shd w:fill="auto" w:val="clear"/>
            <w:vertAlign w:val="baseline"/>
            <w:rtl w:val="0"/>
          </w:rPr>
          <w:t xml:space="preserve">\\prober\ETL\RAWDATA\PROBE08</w:t>
        </w:r>
      </w:hyperlink>
      <w:r w:rsidDel="00000000" w:rsidR="00000000" w:rsidRPr="00000000">
        <w:rPr>
          <w:rtl w:val="0"/>
        </w:rPr>
      </w:r>
    </w:p>
    <w:p w:rsidR="00000000" w:rsidDel="00000000" w:rsidP="00000000" w:rsidRDefault="00000000" w:rsidRPr="00000000" w14:paraId="000001F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57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SPC CC-02329 PROBE08</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F2">
      <w:pPr>
        <w:pStyle w:val="Heading1"/>
        <w:numPr>
          <w:ilvl w:val="0"/>
          <w:numId w:val="1"/>
        </w:numPr>
        <w:tabs>
          <w:tab w:val="left" w:leader="none" w:pos="887"/>
        </w:tabs>
        <w:ind w:left="887" w:hanging="561"/>
        <w:rPr/>
        <w:sectPr>
          <w:type w:val="nextPage"/>
          <w:pgSz w:h="16840" w:w="11900" w:orient="portrait"/>
          <w:pgMar w:bottom="840" w:top="1100" w:left="1020" w:right="1020" w:header="824" w:footer="643"/>
        </w:sectPr>
      </w:pPr>
      <w:r w:rsidDel="00000000" w:rsidR="00000000" w:rsidRPr="00000000">
        <w:rPr>
          <w:rtl w:val="0"/>
        </w:rPr>
        <w:t xml:space="preserve">Attachments</w:t>
      </w:r>
    </w:p>
    <w:p w:rsidR="00000000" w:rsidDel="00000000" w:rsidP="00000000" w:rsidRDefault="00000000" w:rsidRPr="00000000" w14:paraId="000001F3">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1F4">
      <w:pPr>
        <w:tabs>
          <w:tab w:val="left" w:leader="none" w:pos="8738"/>
        </w:tabs>
        <w:spacing w:before="93" w:lineRule="auto"/>
        <w:ind w:left="114" w:firstLine="0"/>
        <w:rPr>
          <w:sz w:val="18"/>
          <w:szCs w:val="18"/>
        </w:rPr>
      </w:pPr>
      <w:r w:rsidDel="00000000" w:rsidR="00000000" w:rsidRPr="00000000">
        <w:rPr>
          <w:sz w:val="18"/>
          <w:szCs w:val="18"/>
          <w:rtl w:val="0"/>
        </w:rPr>
        <w:t>Operation of PROBE08 (Accretech UF200R) and PROBE02 (Electroglas 2001X)</w:t>
        <w:tab/>
        <w:t>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
                <a:graphic>
                  <a:graphicData uri="http://schemas.microsoft.com/office/word/2010/wordprocessingShape">
                    <wps:wsp>
                      <wps:cNvSpPr/>
                      <wps:cNvPr id="10" name="Shape 10"/>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6121400" cy="22225"/>
                        </a:xfrm>
                        <a:prstGeom prst="rect"/>
                        <a:ln/>
                      </pic:spPr>
                    </pic:pic>
                  </a:graphicData>
                </a:graphic>
              </wp:anchor>
            </w:drawing>
          </mc:Fallback>
        </mc:AlternateContent>
      </w:r>
    </w:p>
    <w:p>
      <w:pPr/>
    </w:p>
    <w:p>
      <w:pPr>
        <w:pStyle w:val="Heading1"/>
      </w:pPr>
      <w:r>
        <w:t>Electroglas 2001X (PROBE02) Operation</w:t>
      </w:r>
    </w:p>
    <w:tbl>
      <w:tblPr>
        <w:tblW w:type="auto" w:w="0"/>
        <w:tblLayout w:type="fixed"/>
        <w:tblLook w:firstColumn="1" w:firstRow="1" w:lastColumn="0" w:lastRow="0" w:noHBand="0" w:noVBand="1" w:val="04A0"/>
      </w:tblPr>
      <w:tblGrid>
        <w:gridCol w:w="9860"/>
      </w:tblGrid>
      <w:tr>
        <w:trPr>
          <w:trHeight w:val="3168"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PROBE02 Electroglas 2001X</w:t>
      </w:r>
    </w:p>
    <w:p>
      <w:pPr/>
      <w:r>
        <w:t>This section covers operating PROBE02, the Electroglas 2001X manual/semi-automatic prober, through the GUI. It assumes the reader is already familiar with the general GUI layout described in the Full GUI Manual, and focuses on what is different about Electroglas compared to Accretech.</w:t>
      </w:r>
    </w:p>
    <w:p>
      <w:pPr>
        <w:pStyle w:val="Heading2"/>
      </w:pPr>
      <w:r>
        <w:t>Key Differences From Accretech</w:t>
      </w:r>
    </w:p>
    <w:p>
      <w:pPr>
        <w:ind w:left="360"/>
      </w:pPr>
      <w:r>
        <w:t>• No onboard wafer map. The Accretech UF200R tracks its own wafer map internally and can be commanded to step to a die by absolute coordinate or walk the whole map on its own. The Electroglas 2001X has no equivalent - wafer mapping is disabled on this machine, so the GUI itself is responsible for tracking where the chuck physically is.</w:t>
      </w:r>
    </w:p>
    <w:p>
      <w:pPr>
        <w:ind w:left="360"/>
      </w:pPr>
      <w:r>
        <w:t>• The die grid depends entirely on where the datum was set. Every time the operator re-establishes the chuck's starting position (Set First Die / FD, or the GUI's own "Chuck Is Set" anchor in NanoZ mode), the software's idea of "die (0,0)" moves to wherever the chuck physically is at that moment. There is no fixed physical origin the way there is on Accretech.</w:t>
      </w:r>
    </w:p>
    <w:p>
      <w:pPr>
        <w:ind w:left="360"/>
      </w:pPr>
      <w:r>
        <w:t>• No cassette automation. Wafers are loaded and unloaded manually; there is no automated cassette-stepping equivalent to Accretech's.</w:t>
      </w:r>
    </w:p>
    <w:p>
      <w:pPr>
        <w:ind w:left="360"/>
      </w:pPr>
      <w:r>
        <w:t>• Motion is relative, not absolute. The prober is stepped with relative die (MD) or relative-micron (MM) moves rather than commanded to an absolute coordinate directly, and the software verifies the chuck's real position before and after every move rather than assuming a commanded move landed correctly.</w:t>
      </w:r>
    </w:p>
    <w:p>
      <w:pPr>
        <w:pStyle w:val="Heading2"/>
      </w:pPr>
      <w:r>
        <w:t>Safety</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Electroglas mechanical hazards / EMO</w:t>
      </w:r>
    </w:p>
    <w:p>
      <w:pPr/>
      <w:r>
        <w:t>The same general mechanical hazards described for the Accretech UF200R apply to the Electroglas 2001X - moving chuck, head stage, and cassette hardware. Be aware of pinch points during any motion.</w:t>
      </w:r>
    </w:p>
    <w:p>
      <w:pPr/>
      <w:r>
        <w:rPr>
          <w:b/>
        </w:rPr>
        <w:t xml:space="preserve">WARNING: </w:t>
      </w:r>
      <w:r>
        <w:t>The Electroglas 2001X does NOT reliably stop itself from being driven off the platen. On this specific machine, a run of consecutive relative moves in the same direction were all acknowledged as successful by the prober while actually driving the chuck tens of millimeters past the edge of travel before finally being refused - only the single large move back was rejected. The GUI enforces its own software travel guards (a cap on the size of any single move, and an optional absolute envelope once a trustworthy datum is established) specifically because the prober itself cannot be relied on to do this. Do not disable or bypass these guards, and always re-establish the datum after any hand/joystick motion before resuming an automated move sequence.</w:t>
      </w:r>
    </w:p>
    <w:p>
      <w:pPr>
        <w:pStyle w:val="Heading2"/>
      </w:pPr>
      <w:r>
        <w:t>Equipment/Tooling</w:t>
      </w:r>
    </w:p>
    <w:p>
      <w:pPr>
        <w:ind w:left="360"/>
      </w:pPr>
      <w:r>
        <w:t>• PROBE02 Electroglas 2001CX/2001X Semi-Automatic Prober</w:t>
      </w:r>
    </w:p>
    <w:p>
      <w:pPr>
        <w:ind w:left="360"/>
      </w:pPr>
      <w:r>
        <w:t>• KEYSIGHT 2400 Source Meter (or the Keithley 2636B, depending on bench configuration)</w:t>
      </w:r>
    </w:p>
    <w:p>
      <w:pPr>
        <w:ind w:left="360"/>
      </w:pPr>
      <w:r>
        <w:t>• KEYSIGHT 3458A Digital Multimeter</w:t>
      </w:r>
    </w:p>
    <w:p>
      <w:pPr>
        <w:ind w:left="360"/>
      </w:pPr>
      <w:r>
        <w:t>• AGILENT 6634B Power Supply</w:t>
      </w:r>
    </w:p>
    <w:p>
      <w:pPr>
        <w:ind w:left="360"/>
      </w:pPr>
      <w:r>
        <w:t>• Program-specific probe cards</w:t>
      </w:r>
    </w:p>
    <w:p>
      <w:pPr>
        <w:pStyle w:val="Heading2"/>
      </w:pPr>
      <w:r>
        <w:t>Establishing a Datum</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Establishing a datum / Set Initial anchor</w:t>
      </w:r>
    </w:p>
    <w:p>
      <w:pPr/>
      <w:r>
        <w:t>Before any automated or software-tracked motion can be trusted, the chuck's real position must be tied to a known die. Manually align the chuck on a die whose identity is known (per the loaded wafer plan/recipe), then set that as the reference point:</w:t>
      </w:r>
    </w:p>
    <w:p>
      <w:pPr>
        <w:ind w:left="360"/>
      </w:pPr>
      <w:r>
        <w:t>• On the normal Run tab's PMA-driven flow, this is the "Set Initial" anchor - confirming the current chuck position against a known wafer/touchdown position before any automated relative stepping begins.</w:t>
      </w:r>
    </w:p>
    <w:p>
      <w:pPr>
        <w:ind w:left="360"/>
      </w:pPr>
      <w:r>
        <w:t>• In NanoZ mode, this is the "⚓ Chuck Is Set" control - pick the die the chuck is physically on from the dropdown and press it once confirmed.</w:t>
      </w:r>
    </w:p>
    <w:p>
      <w:pPr/>
      <w:r>
        <w:rPr>
          <w:b/>
        </w:rPr>
        <w:t xml:space="preserve">WARNING: </w:t>
      </w:r>
      <w:r>
        <w:t>The datum must be re-established after ANY motion that did not go through one of the GUI's own tracked move commands - a joystick nudge, a manual jog, or a prober front-panel command. The software has no way to detect that its remembered position no longer matches reality, and computing a move from a stale datum has caused a confirmed out-of-bounds move on real hardware.</w:t>
      </w:r>
    </w:p>
    <w:p>
      <w:pPr>
        <w:pStyle w:val="Heading2"/>
      </w:pPr>
      <w:r>
        <w:t>Running a Recipe — MD vs MM Motion Modes</w:t>
      </w:r>
    </w:p>
    <w:tbl>
      <w:tblPr>
        <w:tblW w:type="auto" w:w="0"/>
        <w:tblLayout w:type="fixed"/>
        <w:tblLook w:firstColumn="1" w:firstRow="1" w:lastColumn="0" w:lastRow="0" w:noHBand="0" w:noVBand="1" w:val="04A0"/>
      </w:tblPr>
      <w:tblGrid>
        <w:gridCol w:w="9860"/>
      </w:tblGrid>
      <w:tr>
        <w:trPr>
          <w:trHeight w:val="2592"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PMA Run tab, motion-mode selector</w:t>
      </w:r>
    </w:p>
    <w:p>
      <w:pPr/>
      <w:r>
        <w:t>Once a datum is established, the Run tab steps between touchdowns using one of two motion modes, selectable per recipe/run:</w:t>
      </w:r>
    </w:p>
    <w:p>
      <w:pPr>
        <w:ind w:left="360"/>
      </w:pPr>
      <w:r>
        <w:t>• MD (die mode) — the default. Moves are commanded in relative die counts; the prober itself is responsible for converting a die count into physical distance, using its own configured die pitch. This is the better-verified mode and should be preferred unless there is a specific reason to use MM.</w:t>
      </w:r>
    </w:p>
    <w:p>
      <w:pPr>
        <w:ind w:left="360"/>
      </w:pPr>
      <w:r>
        <w:t>• MM (micron mode) — moves are commanded in relative microns, computed directly from the recipe's own coordinate data, with no dependency on the prober's die-pitch setting. This exists to reproduce how some legacy recipes were originally run, but its underlying counts-per-micron conversion factor was determined empirically on the bench rather than being a documented machine constant, and why that factor is what it is remains unconfirmed. MD stays the safer default until that is fully explained.</w:t>
      </w:r>
    </w:p>
    <w:p>
      <w:pPr/>
      <w:r>
        <w:t>Whichever mode is selected, the software verifies the chuck is really where it expects BEFORE sending any move (catching a stale datum before it can cause a wrong move), and checks the result AFTER the move completes (catching a refused or incomplete move before continuing to the next touchdown). A move larger than the configured per-hop cap is automatically split into multiple smaller hops rather than sent as one large command.</w:t>
      </w:r>
    </w:p>
    <w:p>
      <w:pPr>
        <w:pStyle w:val="Heading2"/>
      </w:pPr>
      <w:r>
        <w:t>Known Limitations</w:t>
      </w:r>
    </w:p>
    <w:p>
      <w:pPr>
        <w:ind w:left="360"/>
      </w:pPr>
      <w:r>
        <w:t>• No automated whole-wafer or cassette walk. Touchdowns are stepped through via the recipe's own saved list, one at a time, with the software verifying position at every step - there is no native "walk the entire wafer" command equivalent to Accretech's.</w:t>
      </w:r>
    </w:p>
    <w:p>
      <w:pPr>
        <w:ind w:left="360"/>
      </w:pPr>
      <w:r>
        <w:t>• Jog direction labels are only confirmed for a bottom-right (load-position) datum. Once a centre datum has been established (Set First Die at wafer centre rather than at load position), which physical direction is +X/+Y on this machine has not been independently re-confirmed - verify by eye, or against a position readback, before trusting the on-screen jog arrow labels after re-zeroing at a centre datum.</w:t>
      </w:r>
    </w:p>
    <w:p>
      <w:pPr/>
    </w:p>
    <w:p>
      <w:pPr>
        <w:pStyle w:val="Heading1"/>
      </w:pPr>
      <w:r>
        <w:t>Tips and Troubleshooting</w:t>
      </w:r>
    </w:p>
    <w:tbl>
      <w:tblPr>
        <w:tblW w:type="auto" w:w="0"/>
        <w:tblLayout w:type="fixed"/>
        <w:tblLook w:firstColumn="1" w:firstRow="1" w:lastColumn="0" w:lastRow="0" w:noHBand="0" w:noVBand="1" w:val="04A0"/>
      </w:tblPr>
      <w:tblGrid>
        <w:gridCol w:w="9860"/>
      </w:tblGrid>
      <w:tr>
        <w:trPr>
          <w:trHeight w:val="2880" w:hRule="exact"/>
        </w:trPr>
        <w:tc>
          <w:tcPr>
            <w:tcW w:type="dxa" w:w="8640"/>
            <w:tcBorders>
              <w:top w:val="single" w:sz="8" w:space="0" w:color="999999"/>
              <w:left w:val="single" w:sz="8" w:space="0" w:color="999999"/>
              <w:bottom w:val="single" w:sz="8" w:space="0" w:color="999999"/>
              <w:right w:val="single" w:sz="8" w:space="0" w:color="999999"/>
            </w:tcBorders>
            <w:shd w:val="clear" w:color="auto" w:fill="F2F2F2"/>
            <w:vAlign w:val="center"/>
          </w:tcPr>
          <w:p>
            <w:pPr>
              <w:jc w:val="center"/>
            </w:pPr>
            <w:r>
              <w:rPr>
                <w:i/>
                <w:color w:val="808080"/>
              </w:rPr>
              <w:t>[Insert screenshot here]</w:t>
            </w:r>
          </w:p>
        </w:tc>
      </w:tr>
    </w:tbl>
    <w:p>
      <w:pPr/>
      <w:r>
        <w:rPr>
          <w:i/>
        </w:rPr>
        <w:t>Figure: example error messages / dialogs</w:t>
      </w:r>
    </w:p>
    <w:p>
      <w:pPr/>
      <w:r>
        <w:t>This section collects practical guidance and known failure modes encountered operating both systems through this GUI, along with what to check or do about each one.</w:t>
      </w:r>
    </w:p>
    <w:p>
      <w:pPr>
        <w:pStyle w:val="Heading2"/>
      </w:pPr>
      <w:r>
        <w:t>General</w:t>
      </w:r>
    </w:p>
    <w:p>
      <w:pPr>
        <w:ind w:left="360"/>
      </w:pPr>
      <w:r>
        <w:t>• Always set an explicit compliance/limit value on a force step - a blank Limit field does not mean "unlimited safely", it means the instrument keeps whatever compliance it last had, which can be far higher than intended.</w:t>
      </w:r>
    </w:p>
    <w:p>
      <w:pPr>
        <w:ind w:left="360"/>
      </w:pPr>
      <w:r>
        <w:t>• Leave the Shortcut ("Don't resend configs") checkbox off unless a specific recipe/instrument combination has been re-verified with it on. It has previously been found to skip re-sending compliance limits along with everything else, letting a DUT run at an uncontrolled compliance after the first touchdown of a run.</w:t>
      </w:r>
    </w:p>
    <w:p>
      <w:pPr>
        <w:ind w:left="360"/>
      </w:pPr>
      <w:r>
        <w:t>• If the Measure button appears to "do nothing" and logs a stopped-before-step-1 message, this used to be a real bug where a previous Stop Run press left an internal flag set that blocked every later Measure press until the app was relaunched. It has since been fixed - Measure now resets that flag itself - but if it is ever seen again on an older build, restarting the application clears it.</w:t>
      </w:r>
    </w:p>
    <w:p>
      <w:pPr>
        <w:ind w:left="360"/>
      </w:pPr>
      <w:r>
        <w:t>• On a Minor Moves recipe, the plain Measure button only ever tests the FIRST die of a shot - it has no run context to walk the shot's remaining dies, and will stop there with a message explaining that, rather than measuring further dies. This is intentional; use a real run (Full Die / Test Selected / ▶ Run) to walk an entire shot.</w:t>
      </w:r>
    </w:p>
    <w:p>
      <w:pPr>
        <w:ind w:left="360"/>
      </w:pPr>
      <w:r>
        <w:t>• If a low-signal measurement (a few hundred microvolts or less) looks noisy or inconsistent between otherwise-identical dies, check the recipe's averaging (Avg Count) and NPLC settings - a single fast, unaveraged reading of a very small signal can be dominated by noise rather than reflecting a real difference in the DUT.</w:t>
      </w:r>
    </w:p>
    <w:p>
      <w:pPr>
        <w:ind w:left="360"/>
      </w:pPr>
      <w:r>
        <w:t>• Do not edit export formats (Results tab → formats) while another GUI session on the same station is already running - a running session holds its own copy of the format list in memory and can silently overwrite a file edit made from outside it when it next saves. Close/restart the session before editing formats, or make the edit and then reload rather than editing live.</w:t>
      </w:r>
    </w:p>
    <w:p>
      <w:pPr>
        <w:pStyle w:val="Heading2"/>
      </w:pPr>
      <w:r>
        <w:t>Accretech-Specific</w:t>
      </w:r>
    </w:p>
    <w:p>
      <w:pPr>
        <w:ind w:left="360"/>
      </w:pPr>
      <w:r>
        <w:t>• If a recipe uses a channel (A/B) that the active bench's switch wiring does not actually have wired for the selected instrument, the Recipe tab's channel dropdown will not offer it - if an older recipe was built for a different bench's wiring (for example a two-channel SMU's channel B) and is then run on a bench with a single-channel SMU, re-check and correct the channel/connections before running, since the recipe's own saved value may no longer match real wiring.</w:t>
      </w:r>
    </w:p>
    <w:p>
      <w:pPr>
        <w:ind w:left="360"/>
      </w:pPr>
      <w:r>
        <w:t>• Cassette automation remembers and repeats the same run mode (Full Die / Test Selected / ▶ Run) that the first wafer in the cassette was actually started with, including the exact Test Selected site list if that was the mode used - it does not fall back to Full Die for later wafers.</w:t>
      </w:r>
    </w:p>
    <w:p>
      <w:pPr>
        <w:pStyle w:val="Heading2"/>
      </w:pPr>
      <w:r>
        <w:t>Electroglas-Specific</w:t>
      </w:r>
    </w:p>
    <w:p>
      <w:pPr>
        <w:ind w:left="360"/>
      </w:pPr>
      <w:r>
        <w:t>• Re-anchor (Set Initial / Chuck Is Set) any time the chuck has been moved by hand, joystick, or a prober front-panel command since the last anchor - the software cannot detect a stale datum on its own, and a move computed from one can send the chuck to the wrong physical die.</w:t>
      </w:r>
    </w:p>
    <w:p>
      <w:pPr>
        <w:ind w:left="360"/>
      </w:pPr>
      <w:r>
        <w:t>• Prefer MD (die mode) over MM (micron mode) unless there is a specific, understood reason to use MM - see the motion-mode discussion above.</w:t>
      </w:r>
    </w:p>
    <w:p>
      <w:pPr>
        <w:ind w:left="360"/>
      </w:pPr>
      <w:r>
        <w:t>• The Electroglas driver has no cassette automation and no fully automated whole-wafer walk in NanoZ mode - step through the recipe's touchdown list manually.</w:t>
      </w:r>
    </w:p>
    <w:p>
      <w:pPr>
        <w:ind w:left="360"/>
      </w:pPr>
      <w:r>
        <w:t>• Jog arrow labels (in Prober Debug) were only measured against a bottom-right load-position datum. After re-zeroing at a centre datum, verify the physical jog direction by eye before trusting the labels.</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
              <a:graphic>
                <a:graphicData uri="http://schemas.microsoft.com/office/word/2010/wordprocessingShape">
                  <wps:wsp>
                    <wps:cNvSpPr/>
                    <wps:cNvPr id="15" name="Shape 15"/>
                    <wps:spPr>
                      <a:xfrm>
                        <a:off x="2806635" y="3627918"/>
                        <a:ext cx="5078730" cy="304165"/>
                      </a:xfrm>
                      <a:prstGeom prst="rect">
                        <a:avLst/>
                      </a:prstGeom>
                      <a:noFill/>
                      <a:ln>
                        <a:noFill/>
                      </a:ln>
                    </wps:spPr>
                    <wps:txbx>
                      <w:txbxContent>
                        <w:p w:rsidR="00000000" w:rsidDel="00000000" w:rsidP="00000000" w:rsidRDefault="00000000" w:rsidRPr="00000000">
                          <w:pPr>
                            <w:spacing w:after="0" w:before="15" w:line="260.9999942779541"/>
                            <w:ind w:left="20" w:right="17.999999523162842"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Property of Atomica Corp.. </w:t>
                          </w:r>
                          <w:r w:rsidDel="00000000" w:rsidR="00000000" w:rsidRPr="00000000">
                            <w:rPr>
                              <w:rFonts w:ascii="Arial Black" w:cs="Arial Black" w:eastAsia="Arial Black" w:hAnsi="Arial Black"/>
                              <w:b w:val="0"/>
                              <w:i w:val="0"/>
                              <w:smallCaps w:val="0"/>
                              <w:strike w:val="0"/>
                              <w:color w:val="000000"/>
                              <w:sz w:val="16"/>
                              <w:vertAlign w:val="baseline"/>
                            </w:rPr>
                            <w:t xml:space="preserve">CONFIDENTIAL</w:t>
                          </w:r>
                          <w:r w:rsidDel="00000000" w:rsidR="00000000" w:rsidRPr="00000000">
                            <w:rPr>
                              <w:rFonts w:ascii="Arial" w:cs="Arial" w:eastAsia="Arial" w:hAnsi="Arial"/>
                              <w:b w:val="0"/>
                              <w:i w:val="0"/>
                              <w:smallCaps w:val="0"/>
                              <w:strike w:val="0"/>
                              <w:color w:val="000000"/>
                              <w:sz w:val="16"/>
                              <w:vertAlign w:val="baseline"/>
                            </w:rPr>
                            <w:t xml:space="preserve">. Unauthorized distribution or copying prohibited. Generated by James Owens at 2025-08-29 07:19:31 (UTC -0700) Controlled copy.</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93186</wp:posOffset>
              </wp:positionH>
              <wp:positionV relativeFrom="paragraph">
                <wp:posOffset>-135796</wp:posOffset>
              </wp:positionV>
              <wp:extent cx="5088255" cy="313690"/>
              <wp:effectExtent b="0" l="0" r="0" t="0"/>
              <wp:wrapNone/>
              <wp:docPr id="14"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5088255" cy="31369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
              <a:graphic>
                <a:graphicData uri="http://schemas.microsoft.com/office/word/2010/wordprocessingShape">
                  <wps:wsp>
                    <wps:cNvSpPr/>
                    <wps:cNvPr id="26" name="Shape 26"/>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2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5491566</wp:posOffset>
              </wp:positionH>
              <wp:positionV relativeFrom="paragraph">
                <wp:posOffset>-59564</wp:posOffset>
              </wp:positionV>
              <wp:extent cx="671830" cy="173355"/>
              <wp:effectExtent b="0" l="0" r="0" t="0"/>
              <wp:wrapNone/>
              <wp:docPr id="25"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671830" cy="17335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6121400" cy="22225"/>
                      </a:xfrm>
                      <a:prstGeom prst="rect"/>
                      <a:ln/>
                    </pic:spPr>
                  </pic:pic>
                </a:graphicData>
              </a:graphic>
            </wp:anchor>
          </w:drawing>
        </mc:Fallback>
      </mc:AlternateConten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
              <a:graphic>
                <a:graphicData uri="http://schemas.microsoft.com/office/word/2010/wordprocessingShape">
                  <wps:wsp>
                    <wps:cNvSpPr/>
                    <wps:cNvPr id="17" name="Shape 17"/>
                    <wps:spPr>
                      <a:xfrm>
                        <a:off x="4180458" y="3687608"/>
                        <a:ext cx="2331085" cy="184785"/>
                      </a:xfrm>
                      <a:prstGeom prst="rect">
                        <a:avLst/>
                      </a:prstGeom>
                      <a:noFill/>
                      <a:ln>
                        <a:noFill/>
                      </a:ln>
                    </wps:spPr>
                    <wps:txbx>
                      <w:txbxContent>
                        <w:p w:rsidR="00000000" w:rsidDel="00000000" w:rsidP="00000000" w:rsidRDefault="00000000" w:rsidRPr="00000000">
                          <w:pPr>
                            <w:spacing w:after="0" w:before="17.999999523162842" w:line="240"/>
                            <w:ind w:left="20" w:right="0" w:firstLine="20"/>
                            <w:jc w:val="left"/>
                            <w:textDirection w:val="btLr"/>
                          </w:pPr>
                          <w:r w:rsidDel="00000000" w:rsidR="00000000" w:rsidRPr="00000000">
                            <w:rPr>
                              <w:rFonts w:ascii="Arial Black" w:cs="Arial Black" w:eastAsia="Arial Black" w:hAnsi="Arial Black"/>
                              <w:b w:val="0"/>
                              <w:i w:val="0"/>
                              <w:smallCaps w:val="0"/>
                              <w:strike w:val="0"/>
                              <w:color w:val="000000"/>
                              <w:sz w:val="18"/>
                              <w:vertAlign w:val="baseline"/>
                            </w:rPr>
                            <w:t xml:space="preserve">Equipment Operation Instructions (EOI)</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4516953</wp:posOffset>
              </wp:positionH>
              <wp:positionV relativeFrom="page">
                <wp:posOffset>505573</wp:posOffset>
              </wp:positionV>
              <wp:extent cx="2340610" cy="194310"/>
              <wp:effectExtent b="0" l="0" r="0" t="0"/>
              <wp:wrapNone/>
              <wp:docPr id="16"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2340610" cy="19431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3.jpg"/><Relationship Id="rId42" Type="http://schemas.openxmlformats.org/officeDocument/2006/relationships/image" Target="media/image33.jpg"/><Relationship Id="rId41" Type="http://schemas.openxmlformats.org/officeDocument/2006/relationships/image" Target="media/image94.jpg"/><Relationship Id="rId44" Type="http://schemas.openxmlformats.org/officeDocument/2006/relationships/image" Target="media/image39.jpg"/><Relationship Id="rId43" Type="http://schemas.openxmlformats.org/officeDocument/2006/relationships/image" Target="media/image30.jpg"/><Relationship Id="rId46" Type="http://schemas.openxmlformats.org/officeDocument/2006/relationships/image" Target="media/image99.jpg"/><Relationship Id="rId45" Type="http://schemas.openxmlformats.org/officeDocument/2006/relationships/image" Target="media/image69.jpg"/><Relationship Id="rId80" Type="http://schemas.openxmlformats.org/officeDocument/2006/relationships/image" Target="media/image74.png"/><Relationship Id="rId82" Type="http://schemas.openxmlformats.org/officeDocument/2006/relationships/hyperlink" Target="https://prober/ETL/RAWDATA/PROBE08" TargetMode="External"/><Relationship Id="rId81" Type="http://schemas.openxmlformats.org/officeDocument/2006/relationships/image" Target="media/image3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48" Type="http://schemas.openxmlformats.org/officeDocument/2006/relationships/image" Target="media/image91.jpg"/><Relationship Id="rId47" Type="http://schemas.openxmlformats.org/officeDocument/2006/relationships/image" Target="media/image79.jpg"/><Relationship Id="rId49" Type="http://schemas.openxmlformats.org/officeDocument/2006/relationships/image" Target="media/image4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0.png"/><Relationship Id="rId8" Type="http://schemas.openxmlformats.org/officeDocument/2006/relationships/image" Target="media/image100.jpg"/><Relationship Id="rId73" Type="http://schemas.openxmlformats.org/officeDocument/2006/relationships/image" Target="media/image61.jpg"/><Relationship Id="rId72" Type="http://schemas.openxmlformats.org/officeDocument/2006/relationships/image" Target="media/image56.jpg"/><Relationship Id="rId31" Type="http://schemas.openxmlformats.org/officeDocument/2006/relationships/image" Target="media/image95.jpg"/><Relationship Id="rId75" Type="http://schemas.openxmlformats.org/officeDocument/2006/relationships/image" Target="media/image9.jpg"/><Relationship Id="rId30" Type="http://schemas.openxmlformats.org/officeDocument/2006/relationships/image" Target="media/image2.jpg"/><Relationship Id="rId74" Type="http://schemas.openxmlformats.org/officeDocument/2006/relationships/image" Target="media/image19.jpg"/><Relationship Id="rId33" Type="http://schemas.openxmlformats.org/officeDocument/2006/relationships/image" Target="media/image77.jpg"/><Relationship Id="rId77" Type="http://schemas.openxmlformats.org/officeDocument/2006/relationships/image" Target="media/image20.jpg"/><Relationship Id="rId32" Type="http://schemas.openxmlformats.org/officeDocument/2006/relationships/image" Target="media/image22.jpg"/><Relationship Id="rId76" Type="http://schemas.openxmlformats.org/officeDocument/2006/relationships/image" Target="media/image92.jpg"/><Relationship Id="rId35" Type="http://schemas.openxmlformats.org/officeDocument/2006/relationships/image" Target="media/image1.jpg"/><Relationship Id="rId79" Type="http://schemas.openxmlformats.org/officeDocument/2006/relationships/image" Target="media/image21.jpg"/><Relationship Id="rId34" Type="http://schemas.openxmlformats.org/officeDocument/2006/relationships/image" Target="media/image84.jpg"/><Relationship Id="rId78" Type="http://schemas.openxmlformats.org/officeDocument/2006/relationships/image" Target="media/image57.jpg"/><Relationship Id="rId71" Type="http://schemas.openxmlformats.org/officeDocument/2006/relationships/image" Target="media/image105.jpg"/><Relationship Id="rId70" Type="http://schemas.openxmlformats.org/officeDocument/2006/relationships/image" Target="media/image6.jpg"/><Relationship Id="rId37" Type="http://schemas.openxmlformats.org/officeDocument/2006/relationships/image" Target="media/image48.jpg"/><Relationship Id="rId36" Type="http://schemas.openxmlformats.org/officeDocument/2006/relationships/image" Target="media/image76.jpg"/><Relationship Id="rId39" Type="http://schemas.openxmlformats.org/officeDocument/2006/relationships/image" Target="media/image89.jpg"/><Relationship Id="rId38" Type="http://schemas.openxmlformats.org/officeDocument/2006/relationships/image" Target="media/image54.jpg"/><Relationship Id="rId62" Type="http://schemas.openxmlformats.org/officeDocument/2006/relationships/image" Target="media/image73.png"/><Relationship Id="rId61" Type="http://schemas.openxmlformats.org/officeDocument/2006/relationships/image" Target="media/image3.png"/><Relationship Id="rId20" Type="http://schemas.openxmlformats.org/officeDocument/2006/relationships/image" Target="media/image43.jpg"/><Relationship Id="rId64" Type="http://schemas.openxmlformats.org/officeDocument/2006/relationships/image" Target="media/image52.png"/><Relationship Id="rId63" Type="http://schemas.openxmlformats.org/officeDocument/2006/relationships/image" Target="media/image67.jpg"/><Relationship Id="rId22" Type="http://schemas.openxmlformats.org/officeDocument/2006/relationships/image" Target="media/image106.png"/><Relationship Id="rId66" Type="http://schemas.openxmlformats.org/officeDocument/2006/relationships/image" Target="media/image87.jpg"/><Relationship Id="rId21" Type="http://schemas.openxmlformats.org/officeDocument/2006/relationships/image" Target="media/image58.jpg"/><Relationship Id="rId65" Type="http://schemas.openxmlformats.org/officeDocument/2006/relationships/image" Target="media/image27.png"/><Relationship Id="rId24" Type="http://schemas.openxmlformats.org/officeDocument/2006/relationships/image" Target="media/image26.jpg"/><Relationship Id="rId68" Type="http://schemas.openxmlformats.org/officeDocument/2006/relationships/image" Target="media/image7.jpg"/><Relationship Id="rId23" Type="http://schemas.openxmlformats.org/officeDocument/2006/relationships/image" Target="media/image71.jpg"/><Relationship Id="rId67" Type="http://schemas.openxmlformats.org/officeDocument/2006/relationships/image" Target="media/image75.jpg"/><Relationship Id="rId60" Type="http://schemas.openxmlformats.org/officeDocument/2006/relationships/image" Target="media/image93.jpg"/><Relationship Id="rId26" Type="http://schemas.openxmlformats.org/officeDocument/2006/relationships/image" Target="media/image40.jpg"/><Relationship Id="rId25" Type="http://schemas.openxmlformats.org/officeDocument/2006/relationships/image" Target="media/image11.jpg"/><Relationship Id="rId69" Type="http://schemas.openxmlformats.org/officeDocument/2006/relationships/image" Target="media/image4.jpg"/><Relationship Id="rId28" Type="http://schemas.openxmlformats.org/officeDocument/2006/relationships/image" Target="media/image78.jpg"/><Relationship Id="rId27" Type="http://schemas.openxmlformats.org/officeDocument/2006/relationships/image" Target="media/image101.jpg"/><Relationship Id="rId29" Type="http://schemas.openxmlformats.org/officeDocument/2006/relationships/image" Target="media/image70.jpg"/><Relationship Id="rId51" Type="http://schemas.openxmlformats.org/officeDocument/2006/relationships/image" Target="media/image49.jpg"/><Relationship Id="rId50" Type="http://schemas.openxmlformats.org/officeDocument/2006/relationships/image" Target="media/image29.jpg"/><Relationship Id="rId53" Type="http://schemas.openxmlformats.org/officeDocument/2006/relationships/image" Target="media/image68.jpg"/><Relationship Id="rId52" Type="http://schemas.openxmlformats.org/officeDocument/2006/relationships/image" Target="media/image25.jpg"/><Relationship Id="rId11" Type="http://schemas.openxmlformats.org/officeDocument/2006/relationships/hyperlink" Target="https://app.qualio.com/reference/ef47b4a8-81c0-4672-8f74-945fb04414bd" TargetMode="External"/><Relationship Id="rId55" Type="http://schemas.openxmlformats.org/officeDocument/2006/relationships/image" Target="media/image51.jpg"/><Relationship Id="rId10" Type="http://schemas.openxmlformats.org/officeDocument/2006/relationships/footer" Target="footer1.xml"/><Relationship Id="rId54" Type="http://schemas.openxmlformats.org/officeDocument/2006/relationships/image" Target="media/image55.jpg"/><Relationship Id="rId13" Type="http://schemas.openxmlformats.org/officeDocument/2006/relationships/hyperlink" Target="https://app.qualio.com/library/e/1601509" TargetMode="External"/><Relationship Id="rId57" Type="http://schemas.openxmlformats.org/officeDocument/2006/relationships/image" Target="media/image13.jpg"/><Relationship Id="rId12" Type="http://schemas.openxmlformats.org/officeDocument/2006/relationships/hyperlink" Target="https://app.qualio.com/reference/2cc57151-19c9-4f30-9f88-e43a4e3ba6cf" TargetMode="External"/><Relationship Id="rId56" Type="http://schemas.openxmlformats.org/officeDocument/2006/relationships/image" Target="media/image102.jpg"/><Relationship Id="rId15" Type="http://schemas.openxmlformats.org/officeDocument/2006/relationships/image" Target="media/image60.jpg"/><Relationship Id="rId59" Type="http://schemas.openxmlformats.org/officeDocument/2006/relationships/image" Target="media/image31.jpg"/><Relationship Id="rId14" Type="http://schemas.openxmlformats.org/officeDocument/2006/relationships/image" Target="media/image8.jpg"/><Relationship Id="rId58" Type="http://schemas.openxmlformats.org/officeDocument/2006/relationships/image" Target="media/image5.jpg"/><Relationship Id="rId17" Type="http://schemas.openxmlformats.org/officeDocument/2006/relationships/image" Target="media/image90.jpg"/><Relationship Id="rId16" Type="http://schemas.openxmlformats.org/officeDocument/2006/relationships/image" Target="media/image28.jpg"/><Relationship Id="rId19" Type="http://schemas.openxmlformats.org/officeDocument/2006/relationships/image" Target="media/image32.jpg"/><Relationship Id="rId18" Type="http://schemas.openxmlformats.org/officeDocument/2006/relationships/image" Target="media/image88.jp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GOAMGdjDE5ogxfnJrzDpA1uQRw==">CgMxLjAaHQoBMBIYChYIB0ISEhBBcmlhbCBVbmljb2RlIE1TGioKATESJQojCAdCHwoLQXJpYWwgQmxhY2sSEEFyaWFsIFVuaWNvZGUgTVMaHQoBMhIYChYIB0ISEhBBcmlhbCBVbmljb2RlIE1TOAByITFidEtKR25EQV9XZ1c0S19qMnhnWFhFNVBBS3hIUmdCcg==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