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Nautilus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The purpose of this document is to provide instructions for powering on and physically preparing PROBE08 (or PROBE02) for a Nautilus board test, and for operating the NanoZ workspace to run an already-built shot list/recipe. It does not cover creating or editing a shot list/recipe, or board-level NanoZ_EK diagnostics - see the Full GUI Manual for those.</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This procedure is designed for any personnel running Nautilus 1x20-shot board tests who do not need to build or modify the shot list/recipe itself.</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1"/>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2"/>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sectPr>
          <w:type w:val="nextPage"/>
          <w:pgSz w:h="16840" w:w="11900" w:orient="portrait"/>
          <w:pgMar w:bottom="840" w:top="1100" w:left="1020" w:right="1020" w:header="824" w:footer="643"/>
        </w:sect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3"/>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Nautilus program-specific probe card</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sectPr>
          <w:type w:val="nextPage"/>
          <w:pgSz w:h="16840" w:w="11900" w:orient="portrait"/>
          <w:pgMar w:bottom="840" w:top="1100" w:left="1020" w:right="1020" w:header="824" w:footer="643"/>
        </w:sect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4"/>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5"/>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6"/>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17"/>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1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19"/>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sectPr>
          <w:type w:val="nextPage"/>
          <w:pgSz w:h="16840" w:w="11900" w:orient="portrait"/>
          <w:pgMar w:bottom="840" w:top="1100" w:left="1020" w:right="1020" w:header="824" w:footer="643"/>
        </w:sect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0"/>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2"/>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3"/>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sectPr>
          <w:type w:val="nextPage"/>
          <w:pgSz w:h="16840" w:w="11900" w:orient="portrait"/>
          <w:pgMar w:bottom="840" w:top="1100" w:left="1020" w:right="1020" w:header="824" w:footer="643"/>
        </w:sect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6"/>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27"/>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sectPr>
          <w:type w:val="nextPage"/>
          <w:pgSz w:h="16840" w:w="11900" w:orient="portrait"/>
          <w:pgMar w:bottom="840" w:top="1100" w:left="1020" w:right="1020" w:header="824" w:footer="643"/>
        </w:sect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2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4"/>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5"/>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sectPr>
          <w:type w:val="nextPage"/>
          <w:pgSz w:h="16840" w:w="11900" w:orient="portrait"/>
          <w:pgMar w:bottom="840" w:top="1100" w:left="1020" w:right="1020" w:header="824" w:footer="643"/>
        </w:sect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3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3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sectPr>
          <w:type w:val="nextPage"/>
          <w:pgSz w:h="16840" w:w="11900" w:orient="portrait"/>
          <w:pgMar w:bottom="840" w:top="1100" w:left="1020" w:right="1020" w:header="824" w:footer="643"/>
        </w:sect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sectPr>
          <w:type w:val="nextPage"/>
          <w:pgSz w:h="16840" w:w="11900" w:orient="portrait"/>
          <w:pgMar w:bottom="840" w:top="1100" w:left="1020" w:right="1020" w:header="824" w:footer="643"/>
        </w:sect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sectPr>
          <w:type w:val="nextPage"/>
          <w:pgSz w:h="16840" w:w="11900" w:orient="portrait"/>
          <w:pgMar w:bottom="840" w:top="1100" w:left="1020" w:right="1020" w:header="824" w:footer="643"/>
        </w:sect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4"/>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4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4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4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1"/>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2"/>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3"/>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57"/>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58"/>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NautATA ATA folder, then enter NanoZ mode - see Running Nautilus (NanoZ Workspace) below for the rest of this procedure.</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59"/>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sectPr>
          <w:type w:val="nextPage"/>
          <w:pgSz w:h="16840" w:w="11900" w:orient="portrait"/>
          <w:pgMar w:bottom="840" w:top="1100" w:left="1020" w:right="1020" w:header="824" w:footer="643"/>
        </w:sect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0"/>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1"/>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2"/>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5"/>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6"/>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67"/>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6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6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0"/>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2"/>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3"/>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6"/>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67"/>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5"/>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2"/>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Nautilus</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pPr>
        <w:pStyle w:val="Heading1"/>
      </w:pPr>
      <w:r>
        <w:t>Running Nautilus (NanoZ Workspace)</w:t>
      </w:r>
    </w:p>
    <w:tbl>
      <w:tblPr>
        <w:tblW w:type="auto" w:w="0"/>
        <w:tblLayout w:type="fixed"/>
        <w:tblLook w:firstColumn="1" w:firstRow="1" w:lastColumn="0" w:lastRow="0" w:noHBand="0" w:noVBand="1" w:val="04A0"/>
      </w:tblPr>
      <w:tblGrid>
        <w:gridCol w:w="864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workspace, whole window</w:t>
      </w:r>
    </w:p>
    <w:p>
      <w:pPr/>
      <w:r>
        <w:t>Nautilus is operated through the alternate NanoZ workspace rather than the normal tab set. This section covers that workspace end to end - it does not cover building or editing the shot list/recipe, or the board-level NanoZ_EK diagnostic controls; see the Full GUI Manual for those.</w:t>
      </w:r>
    </w:p>
    <w:p>
      <w:pPr>
        <w:pStyle w:val="Heading2"/>
      </w:pPr>
      <w:r>
        <w:t>Enter NanoZ Mode</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Switch tab, Switch to NanoZ button</w:t>
      </w:r>
    </w:p>
    <w:p>
      <w:pPr>
        <w:ind w:left="360"/>
      </w:pPr>
      <w:r>
        <w:t>• Verify the Accretech/Electroglas toggle (top right) is set to the correct system for this bench.</w:t>
      </w:r>
    </w:p>
    <w:p>
      <w:pPr>
        <w:ind w:left="360"/>
      </w:pPr>
      <w:r>
        <w:t>• Load the NautATA ATA folder if it is not already loaded.</w:t>
      </w:r>
    </w:p>
    <w:p>
      <w:pPr>
        <w:ind w:left="360"/>
      </w:pPr>
      <w:r>
        <w:t>• Go to Debug → Nanoz Switch and press “Switch to NanoZ”. The whole window's main section replaces the normal tab set with the NanoZ workspace.</w:t>
      </w:r>
    </w:p>
    <w:p>
      <w:pPr/>
      <w:r>
        <w:rPr>
          <w:b/>
        </w:rPr>
        <w:t xml:space="preserve">NOTE: </w:t>
      </w:r>
      <w:r>
        <w:t>If this station always runs Nautilus, NanoZ mode can be set as this machine's default GUI mode from the same Nanoz Switch tab, so it comes up automatically at startup instead of needing to be switched into every time.</w:t>
      </w:r>
    </w:p>
    <w:p>
      <w:pPr>
        <w:pStyle w:val="Heading2"/>
      </w:pPr>
      <w:r>
        <w:t>Connect Boards</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Setup tab, board connect</w:t>
      </w:r>
    </w:p>
    <w:p>
      <w:pPr/>
      <w:r>
        <w:t>On the NanoZ workspace's Setup tab, connect the NanoZ boards (Connect All, or connect individually). Verify each board shows as connected before continuing.</w:t>
      </w:r>
    </w:p>
    <w:p>
      <w:pPr>
        <w:pStyle w:val="Heading2"/>
      </w:pPr>
      <w:r>
        <w:t>Load the Shot List / Recipe</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Recipe tab, shot list loaded</w:t>
      </w:r>
    </w:p>
    <w:p>
      <w:pPr/>
      <w:r>
        <w:t>On the Recipe tab, verify the correct shot list / named recipe is loaded for this probe card. If a wafer plan needs to be (re)imported or refreshed, do that here (Import Wafer Plan on Accretech; Refresh From Wafer Builder on Electroglas).</w:t>
      </w:r>
    </w:p>
    <w:p>
      <w:pPr/>
      <w:r>
        <w:rPr>
          <w:b/>
        </w:rPr>
        <w:t xml:space="preserve">NOTE: </w:t>
      </w:r>
      <w:r>
        <w:t>As with the normal Recipe tab, this NanoZ shot list can also be set as the default for this ATA folder/probe card if this bench always runs the same one.</w:t>
      </w:r>
    </w:p>
    <w:p>
      <w:pPr>
        <w:pStyle w:val="Heading2"/>
      </w:pPr>
      <w:r>
        <w:t>Establish Position (Accretech)</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First Die (G) / Refresh XY controls</w:t>
      </w:r>
    </w:p>
    <w:p>
      <w:pPr/>
      <w:r>
        <w:t>On the Run tab, press ⏮ First Die (G) to position the prober's onboard start die, then ↻ Refresh XY to confirm the reported position.</w:t>
      </w:r>
    </w:p>
    <w:p>
      <w:pPr>
        <w:pStyle w:val="Heading2"/>
      </w:pPr>
      <w:r>
        <w:t>Establish the Anchor (Electroglas)</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Chuck Is Set anchor controls</w:t>
      </w:r>
    </w:p>
    <w:p>
      <w:pPr/>
      <w:r>
        <w:t>Electroglas has no onboard wafer map, so instead of First Die, a software-tracked anchor must be set:</w:t>
      </w:r>
    </w:p>
    <w:p>
      <w:pPr>
        <w:ind w:left="360"/>
      </w:pPr>
      <w:r>
        <w:t>• Manually position the chuck on a known die (per the loaded wafer plan).</w:t>
      </w:r>
    </w:p>
    <w:p>
      <w:pPr>
        <w:ind w:left="360"/>
      </w:pPr>
      <w:r>
        <w:t>• On the Run tab, select that die from the “Chuck is on die” dropdown and press ⚓ Chuck Is Set.</w:t>
      </w:r>
    </w:p>
    <w:p>
      <w:pPr/>
      <w:r>
        <w:rPr>
          <w:b/>
        </w:rPr>
        <w:t xml:space="preserve">WARNING: </w:t>
      </w:r>
      <w:r>
        <w:t>Re-anchor any time the chuck is moved by hand, joystick, or a prober front-panel command outside this workspace's own move buttons - the software cannot detect a stale anchor on its own, and a move computed from one will send the chuck to the wrong physical die.</w:t>
      </w:r>
    </w:p>
    <w:p>
      <w:pPr>
        <w:ind w:left="360"/>
      </w:pPr>
      <w:r>
        <w:t>• Set/Verify Pitch on Prober (if not already set/verified for this probe card) before running.</w:t>
      </w:r>
    </w:p>
    <w:p>
      <w:pPr>
        <w:pStyle w:val="Heading2"/>
      </w:pPr>
      <w:r>
        <w:t>Run</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Run tab, active run</w:t>
      </w:r>
    </w:p>
    <w:p>
      <w:pPr/>
      <w:r>
        <w:t>Accretech: press Test Die or Run Recipe on the Run tab to walk the loaded shot list automatically.</w:t>
      </w:r>
    </w:p>
    <w:p>
      <w:pPr/>
      <w:r>
        <w:t>Electroglas: the fully automated multi-touchdown walk is not available - step through the shot list manually: press ▶▶ Next Die (Recipe) to move to each shot in turn, then trigger the measurement (Run Cycle (Active) / Measure) at each one before advancing to the next.</w:t>
      </w:r>
    </w:p>
    <w:p>
      <w:pPr/>
      <w:r>
        <w:t>Watch the wafer map and Charts tab as touchdowns complete; the Pass/Fail Limits configured on the Recipe tab determine pass/fail coloring.</w:t>
      </w:r>
    </w:p>
    <w:p>
      <w:pPr>
        <w:pStyle w:val="Heading2"/>
      </w:pPr>
      <w:r>
        <w:t>Cassette Automation (Accretech only)</w:t>
      </w:r>
    </w:p>
    <w:tbl>
      <w:tblPr>
        <w:tblW w:type="auto" w:w="0"/>
        <w:tblLayout w:type="fixed"/>
        <w:tblLook w:firstColumn="1" w:firstRow="1" w:lastColumn="0" w:lastRow="0" w:noHBand="0" w:noVBand="1" w:val="04A0"/>
      </w:tblPr>
      <w:tblGrid>
        <w:gridCol w:w="864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NanoZ Cassette tab, armed</w:t>
      </w:r>
    </w:p>
    <w:p>
      <w:pPr/>
      <w:r>
        <w:t>If running a full cassette of wafers back to back, use the Cassette tab: enter the Lot ID/Wafer ID for each slot in order, set the pass-yield threshold that should auto-continue vs. pause for review, then press ▶ Arm Cassette Automation. Each wafer's recipe run repeats automatically for the next slot once the current wafer finishes and is unloaded/reloaded. This tab does not appear (and is not needed) on the Electroglas side.</w:t>
      </w:r>
    </w:p>
    <w:p>
      <w:pPr>
        <w:pStyle w:val="Heading2"/>
      </w:pPr>
      <w:r>
        <w:t>Save Results</w:t>
      </w:r>
    </w:p>
    <w:p>
      <w:pPr/>
      <w:r>
        <w:t>Go to the Results tab. Enter the Lot ID and/or Wafer ID before saving, verify the export path, then save.</w:t>
      </w:r>
    </w:p>
    <w:p>
      <w:pPr/>
      <w:r>
        <w:rPr>
          <w:b/>
        </w:rPr>
        <w:t xml:space="preserve">NOTE: </w:t>
      </w:r>
      <w:r>
        <w:t>If Cassette automation is armed with Auto-Export configured, this happens automatically after each wafer using the Results tab's own export path, and does not need to be done manually per wafer.</w:t>
      </w:r>
    </w:p>
    <w:p>
      <w:pPr>
        <w:pStyle w:val="Heading2"/>
      </w:pPr>
      <w:r>
        <w:t>Return to Normal Mode</w:t>
      </w:r>
    </w:p>
    <w:p>
      <w:pPr/>
      <w:r>
        <w:t>When finished, press “Switch to Normal” from the NanoZ workspace's own header (or from Debug → Nanoz Switch) to return to the regular tab set.</w:t>
      </w:r>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jp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