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rial" w:hAnsi="Arial" w:eastAsia="Arial"/>
          <w:b/>
          <w:color w:val="FF6B35"/>
          <w:sz w:val="17"/>
        </w:rPr>
        <w:t>CONCEPT EXPERIENCE USER GUIDE</w:t>
      </w:r>
    </w:p>
    <w:p>
      <w:pPr>
        <w:pStyle w:val="Title"/>
      </w:pPr>
      <w:r>
        <w:t>Maya Concept Experience Navigation Guide</w:t>
      </w:r>
    </w:p>
    <w:p>
      <w:pPr>
        <w:pStyle w:val="Subtitle"/>
      </w:pPr>
      <w:r>
        <w:t>Workspace  Applications  Evidence  Agents  Network Operations</w:t>
      </w:r>
    </w:p>
    <w:p>
      <w:pPr>
        <w:spacing w:before="360" w:after="320"/>
      </w:pPr>
      <w:r>
        <w:rPr>
          <w:rFonts w:ascii="Consolas" w:hAnsi="Consolas" w:eastAsia="Consolas"/>
          <w:b/>
          <w:color w:val="5E6862"/>
          <w:sz w:val="18"/>
        </w:rPr>
        <w:t>Version 3  |  4 September 2026  |  Front end concept</w:t>
      </w:r>
    </w:p>
    <w:p>
      <w:pPr>
        <w:spacing w:after="260"/>
      </w:pPr>
      <w:r>
        <w:rPr>
          <w:rFonts w:ascii="Arial" w:hAnsi="Arial" w:eastAsia="Arial"/>
          <w:sz w:val="24"/>
        </w:rPr>
        <w:t>This guide shows how to move from a global signal to a client project, assemble specialist applications, inspect evidence, steer an expert agent trace, compare an operations research response, and stop at a human decision gate. It also marks the boundary between interactive concept behavior and future production services.</w:t>
      </w:r>
    </w:p>
    <w:p>
      <w:pPr>
        <w:pStyle w:val="Heading2"/>
        <w:keepNext/>
      </w:pPr>
      <w:r>
        <w:t>Use this guide</w:t>
      </w:r>
    </w:p>
    <w:p>
      <w:pPr>
        <w:spacing w:after="80"/>
        <w:ind w:left="346" w:hanging="346"/>
      </w:pPr>
      <w:r>
        <w:rPr>
          <w:rFonts w:ascii="Arial" w:hAnsi="Arial" w:eastAsia="Arial"/>
          <w:b/>
        </w:rPr>
        <w:t xml:space="preserve">1.  </w:t>
      </w:r>
      <w:r>
        <w:t>For a five minute walkthrough, follow the Fastest demonstration route on the next page.</w:t>
      </w:r>
    </w:p>
    <w:p>
      <w:pPr>
        <w:spacing w:after="80"/>
        <w:ind w:left="346" w:hanging="346"/>
      </w:pPr>
      <w:r>
        <w:rPr>
          <w:rFonts w:ascii="Arial" w:hAnsi="Arial" w:eastAsia="Arial"/>
          <w:b/>
        </w:rPr>
        <w:t xml:space="preserve">2.  </w:t>
      </w:r>
      <w:r>
        <w:t>For project delivery, start with Workspace hierarchy and Project tabs.</w:t>
      </w:r>
    </w:p>
    <w:p>
      <w:pPr>
        <w:spacing w:after="80"/>
        <w:ind w:left="346" w:hanging="346"/>
      </w:pPr>
      <w:r>
        <w:rPr>
          <w:rFonts w:ascii="Arial" w:hAnsi="Arial" w:eastAsia="Arial"/>
          <w:b/>
        </w:rPr>
        <w:t xml:space="preserve">3.  </w:t>
      </w:r>
      <w:r>
        <w:t>For trust and governance, read Evidence receipts, Agent society, and Concept boundaries before demonstrating an approval or optimization flow.</w:t>
      </w:r>
    </w:p>
    <w:p>
      <w:r>
        <w:rPr>
          <w:rFonts w:ascii="Arial" w:hAnsi="Arial" w:eastAsia="Arial"/>
          <w:b/>
        </w:rPr>
        <w:t xml:space="preserve">Important boundary  </w:t>
      </w:r>
      <w:r>
        <w:t>All companies, records, calculations, alerts, maps, agents, source connections, and outcomes in the current experience are synthetic. Browser interactions create session-only state. No live enterprise system, external data provider, solver, credential, model training loop, or operational write-back is connected.</w:t>
      </w:r>
    </w:p>
    <w:p>
      <w:r>
        <w:br w:type="page"/>
      </w:r>
    </w:p>
    <w:p>
      <w:pPr>
        <w:spacing w:after="100"/>
      </w:pPr>
      <w:r>
        <w:rPr>
          <w:rFonts w:ascii="Arial" w:hAnsi="Arial" w:eastAsia="Arial"/>
          <w:b/>
          <w:color w:val="FF6B35"/>
          <w:sz w:val="17"/>
        </w:rPr>
        <w:t>ORIENTATION</w:t>
      </w:r>
    </w:p>
    <w:p>
      <w:pPr>
        <w:pStyle w:val="Heading1"/>
        <w:keepNext/>
      </w:pPr>
      <w:r>
        <w:t>Platform map</w:t>
      </w:r>
    </w:p>
    <w:p>
      <w:pPr>
        <w:spacing w:after="200"/>
      </w:pPr>
      <w:r>
        <w:t>Maya organizes work around a client project. The platform, apps, agents, and evidence all inherit that project context.</w:t>
      </w:r>
    </w:p>
    <w:p>
      <w:pPr>
        <w:spacing w:after="40"/>
        <w:ind w:left="360"/>
      </w:pPr>
      <w:r>
        <w:rPr>
          <w:rFonts w:ascii="Consolas" w:hAnsi="Consolas" w:eastAsia="Consolas"/>
          <w:color w:val="111815"/>
          <w:sz w:val="16"/>
        </w:rPr>
        <w:t>Global intelligence</w:t>
      </w:r>
    </w:p>
    <w:p>
      <w:pPr>
        <w:spacing w:after="40"/>
        <w:ind w:left="360"/>
      </w:pPr>
      <w:r>
        <w:rPr>
          <w:rFonts w:ascii="Consolas" w:hAnsi="Consolas" w:eastAsia="Consolas"/>
          <w:color w:val="111815"/>
          <w:sz w:val="16"/>
        </w:rPr>
        <w:t xml:space="preserve">  Sector tower</w:t>
      </w:r>
    </w:p>
    <w:p>
      <w:pPr>
        <w:spacing w:after="40"/>
        <w:ind w:left="360"/>
      </w:pPr>
      <w:r>
        <w:rPr>
          <w:rFonts w:ascii="Consolas" w:hAnsi="Consolas" w:eastAsia="Consolas"/>
          <w:color w:val="111815"/>
          <w:sz w:val="16"/>
        </w:rPr>
        <w:t xml:space="preserve">    Client tenant</w:t>
      </w:r>
    </w:p>
    <w:p>
      <w:pPr>
        <w:spacing w:after="40"/>
        <w:ind w:left="360"/>
      </w:pPr>
      <w:r>
        <w:rPr>
          <w:rFonts w:ascii="Consolas" w:hAnsi="Consolas" w:eastAsia="Consolas"/>
          <w:color w:val="111815"/>
          <w:sz w:val="16"/>
        </w:rPr>
        <w:t xml:space="preserve">      Project workspace</w:t>
      </w:r>
    </w:p>
    <w:p>
      <w:pPr>
        <w:spacing w:after="40"/>
        <w:ind w:left="360"/>
      </w:pPr>
      <w:r>
        <w:rPr>
          <w:rFonts w:ascii="Consolas" w:hAnsi="Consolas" w:eastAsia="Consolas"/>
          <w:color w:val="111815"/>
          <w:sz w:val="16"/>
        </w:rPr>
        <w:t xml:space="preserve">        Project data and knowledge graph</w:t>
      </w:r>
    </w:p>
    <w:p>
      <w:pPr>
        <w:spacing w:after="40"/>
        <w:ind w:left="360"/>
      </w:pPr>
      <w:r>
        <w:rPr>
          <w:rFonts w:ascii="Consolas" w:hAnsi="Consolas" w:eastAsia="Consolas"/>
          <w:color w:val="111815"/>
          <w:sz w:val="16"/>
        </w:rPr>
        <w:t xml:space="preserve">        Mounted specialist applications</w:t>
      </w:r>
    </w:p>
    <w:p>
      <w:pPr>
        <w:spacing w:after="40"/>
        <w:ind w:left="360"/>
      </w:pPr>
      <w:r>
        <w:rPr>
          <w:rFonts w:ascii="Consolas" w:hAnsi="Consolas" w:eastAsia="Consolas"/>
          <w:color w:val="111815"/>
          <w:sz w:val="16"/>
        </w:rPr>
        <w:t xml:space="preserve">        Decision tree and case workspace</w:t>
      </w:r>
    </w:p>
    <w:p>
      <w:pPr>
        <w:spacing w:after="40"/>
        <w:ind w:left="360"/>
      </w:pPr>
      <w:r>
        <w:rPr>
          <w:rFonts w:ascii="Consolas" w:hAnsi="Consolas" w:eastAsia="Consolas"/>
          <w:color w:val="111815"/>
          <w:sz w:val="16"/>
        </w:rPr>
        <w:t xml:space="preserve">        Expert agent society and human team</w:t>
      </w:r>
    </w:p>
    <w:p>
      <w:pPr>
        <w:spacing w:after="40"/>
        <w:ind w:left="360"/>
      </w:pPr>
      <w:r>
        <w:rPr>
          <w:rFonts w:ascii="Consolas" w:hAnsi="Consolas" w:eastAsia="Consolas"/>
          <w:color w:val="111815"/>
          <w:sz w:val="16"/>
        </w:rPr>
        <w:t xml:space="preserve">        Evidence receipts and governance</w:t>
      </w:r>
    </w:p>
    <w:p>
      <w:pPr>
        <w:spacing w:after="40"/>
        <w:ind w:left="360"/>
      </w:pPr>
      <w:r>
        <w:rPr>
          <w:rFonts w:ascii="Consolas" w:hAnsi="Consolas" w:eastAsia="Consolas"/>
          <w:color w:val="111815"/>
          <w:sz w:val="16"/>
        </w:rPr>
        <w:t xml:space="preserve">          Session-only outcome or blocked gate</w:t>
      </w:r>
    </w:p>
    <w:p>
      <w:pPr>
        <w:pStyle w:val="Heading2"/>
        <w:keepNext/>
      </w:pPr>
      <w:r>
        <w:t>Fastest demonstration route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605"/>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Step</w:t>
            </w:r>
          </w:p>
        </w:tc>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Click</w:t>
            </w:r>
          </w:p>
        </w:tc>
        <w:tc>
          <w:tcPr>
            <w:tcW w:type="dxa" w:w="46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the audience should notice</w:t>
            </w:r>
          </w:p>
        </w:tc>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Terminal result</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1</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Expert workspace</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The left tree is Sector, Client, Project rather than a generic company dashboard.</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Anode Shield project home</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2</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Any project KPI</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Every headline value exposes source type, formula, inputs, variable ID, confidence, trace, reviewer, and access scope.</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Evidence drawer</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3</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Mounted apps</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Ten apps have different visual languages, interaction models, outputs, methods, and variables.</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App mount graph</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4</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MineralAtlas</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Country, reserve, refinery, route, and product context use an atlas workflow rather than a generic dashboard.</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Mineral sourcing scenario</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5</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Agent society</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A code-style session shows a bounded agent trace, skill and tool profile, steering controls, and a human gate.</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Session run receipt</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6</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Project data</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Upload is project-scoped and demonstrates staged metadata, mapping, review, and receipt states.</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Session dataset receipt</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7</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Decisions</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High-level choices decompose into lower-level decisions, variables, methods, and evidence.</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Expert review draft</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8</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Global platform then Network map</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The radar supports pan, zoom, region presets, time frames, layers, hover details, pinned entities, and app handoff.</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Retained network context</w:t>
            </w:r>
          </w:p>
        </w:tc>
      </w:tr>
    </w:tbl>
    <w:p>
      <w:pPr>
        <w:spacing w:after="0" w:before="0"/>
      </w:pPr>
    </w:p>
    <w:p>
      <w:r>
        <w:br w:type="page"/>
      </w:r>
    </w:p>
    <w:p>
      <w:pPr>
        <w:spacing w:after="100"/>
      </w:pPr>
      <w:r>
        <w:rPr>
          <w:rFonts w:ascii="Arial" w:hAnsi="Arial" w:eastAsia="Arial"/>
          <w:b/>
          <w:color w:val="FF6B35"/>
          <w:sz w:val="17"/>
        </w:rPr>
        <w:t>CLIENT DELIVERY</w:t>
      </w:r>
    </w:p>
    <w:p>
      <w:pPr>
        <w:pStyle w:val="Heading1"/>
        <w:keepNext/>
      </w:pPr>
      <w:r>
        <w:t>Workspace hierarchy</w:t>
      </w:r>
    </w:p>
    <w:p>
      <w:pPr>
        <w:spacing w:after="200"/>
      </w:pPr>
      <w:r>
        <w:t>The Expert workspace replaces the former Company platform. A specialist selects a sector, a client, and a project. Every project owns its data, apps, agents, decisions, experts, evidence, and governance context.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03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Level</w:t>
            </w:r>
          </w:p>
        </w:tc>
        <w:tc>
          <w:tcPr>
            <w:tcW w:type="dxa" w:w="2419"/>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Purpose</w:t>
            </w:r>
          </w:p>
        </w:tc>
        <w:tc>
          <w:tcPr>
            <w:tcW w:type="dxa" w:w="38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Isolation rule</w:t>
            </w:r>
          </w:p>
        </w:tc>
        <w:tc>
          <w:tcPr>
            <w:tcW w:type="dxa" w:w="216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Primary actions</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Sector</w:t>
            </w:r>
          </w:p>
        </w:tc>
        <w:tc>
          <w:tcPr>
            <w:tcW w:type="dxa" w:w="2419"/>
            <w:vAlign w:val="center"/>
            <w:tcMar>
              <w:top w:w="90" w:type="dxa"/>
              <w:start w:w="100" w:type="dxa"/>
              <w:bottom w:w="90" w:type="dxa"/>
              <w:end w:w="100" w:type="dxa"/>
            </w:tcMar>
          </w:tcPr>
          <w:p>
            <w:pPr>
              <w:spacing w:after="0" w:line="259" w:lineRule="auto"/>
            </w:pPr>
            <w:r>
              <w:rPr>
                <w:rFonts w:ascii="Arial" w:hAnsi="Arial" w:eastAsia="Arial"/>
                <w:color w:val="111815"/>
                <w:sz w:val="16"/>
              </w:rPr>
              <w:t>Groups related clients and reusable domain patterns.</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Client records remain separated even when sector methods are shared.</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6"/>
              </w:rPr>
              <w:t>Filter portfolio, compare common risks, reuse approved templates</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Client</w:t>
            </w:r>
          </w:p>
        </w:tc>
        <w:tc>
          <w:tcPr>
            <w:tcW w:type="dxa" w:w="2419"/>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Represents the governed tenant and commercial relationship.</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Client data, identities, residency, and policies must be enforced server-side in production.</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client projects, manage access, inspect client-wide evidence</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Project</w:t>
            </w:r>
          </w:p>
        </w:tc>
        <w:tc>
          <w:tcPr>
            <w:tcW w:type="dxa" w:w="2419"/>
            <w:vAlign w:val="center"/>
            <w:tcMar>
              <w:top w:w="90" w:type="dxa"/>
              <w:start w:w="100" w:type="dxa"/>
              <w:bottom w:w="90" w:type="dxa"/>
              <w:end w:w="100" w:type="dxa"/>
            </w:tcMar>
          </w:tcPr>
          <w:p>
            <w:pPr>
              <w:spacing w:after="0" w:line="259" w:lineRule="auto"/>
            </w:pPr>
            <w:r>
              <w:rPr>
                <w:rFonts w:ascii="Arial" w:hAnsi="Arial" w:eastAsia="Arial"/>
                <w:color w:val="111815"/>
                <w:sz w:val="16"/>
              </w:rPr>
              <w:t>Contains the decision memory for one engagement or operating problem.</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Uploads, mounted apps, traces, decisions, and receipts carry the project key.</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6"/>
              </w:rPr>
              <w:t>Work the problem, collaborate, review evidence, prepare decisions</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Decision case</w:t>
            </w:r>
          </w:p>
        </w:tc>
        <w:tc>
          <w:tcPr>
            <w:tcW w:type="dxa" w:w="2419"/>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Packages a specific choice and its lifecycle.</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The case retains variables, methods, scenarios, owners, approvals, evidence, and outcome measures.</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Validate, simulate, approve, execute, measure</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Evidence receipt</w:t>
            </w:r>
          </w:p>
        </w:tc>
        <w:tc>
          <w:tcPr>
            <w:tcW w:type="dxa" w:w="2419"/>
            <w:vAlign w:val="center"/>
            <w:tcMar>
              <w:top w:w="90" w:type="dxa"/>
              <w:start w:w="100" w:type="dxa"/>
              <w:bottom w:w="90" w:type="dxa"/>
              <w:end w:w="100" w:type="dxa"/>
            </w:tcMar>
          </w:tcPr>
          <w:p>
            <w:pPr>
              <w:spacing w:after="0" w:line="259" w:lineRule="auto"/>
            </w:pPr>
            <w:r>
              <w:rPr>
                <w:rFonts w:ascii="Arial" w:hAnsi="Arial" w:eastAsia="Arial"/>
                <w:color w:val="111815"/>
                <w:sz w:val="16"/>
              </w:rPr>
              <w:t>Explains a displayed claim or action.</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A receipt fails closed when its reference is unknown or belongs to another project.</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6"/>
              </w:rPr>
              <w:t>Inspect source, formula, inputs, version, confidence, access</w:t>
            </w:r>
          </w:p>
        </w:tc>
      </w:tr>
    </w:tbl>
    <w:p>
      <w:pPr>
        <w:spacing w:after="0" w:before="0"/>
      </w:pPr>
    </w:p>
    <w:p>
      <w:pPr>
        <w:pStyle w:val="Heading2"/>
        <w:keepNext/>
      </w:pPr>
      <w:r>
        <w:t>How to switch projects</w:t>
      </w:r>
    </w:p>
    <w:p>
      <w:pPr>
        <w:pStyle w:val="ListBullet"/>
      </w:pPr>
      <w:r>
        <w:t>Use the workspace tree on a large screen. Expand a sector, expand its client, and select the project.</w:t>
      </w:r>
    </w:p>
    <w:p>
      <w:pPr>
        <w:pStyle w:val="ListBullet"/>
      </w:pPr>
      <w:r>
        <w:t>Use the Sector, Client, and Project selectors above the workspace on smaller screens.</w:t>
      </w:r>
    </w:p>
    <w:p>
      <w:pPr>
        <w:pStyle w:val="ListBullet"/>
      </w:pPr>
      <w:r>
        <w:t>Use Search anything or Command K to jump directly to a project by sector, client, project name, or project code.</w:t>
      </w:r>
    </w:p>
    <w:p>
      <w:pPr>
        <w:pStyle w:val="ListBullet"/>
      </w:pPr>
      <w:r>
        <w:t>The URL records the sector, client, project, active tab, and app studio. Browser Back and Forward restore the same route.</w:t>
      </w:r>
    </w:p>
    <w:p>
      <w:pPr>
        <w:pStyle w:val="ListBullet"/>
      </w:pPr>
      <w:r>
        <w:t>Each project preserves its own browser-session app mounts, uploads, agent chat, trace state, steering instructions, draft agents, and team assignments while the page remains open.</w:t>
      </w:r>
    </w:p>
    <w:p>
      <w:r>
        <w:br w:type="page"/>
      </w:r>
    </w:p>
    <w:p>
      <w:pPr>
        <w:spacing w:after="100"/>
      </w:pPr>
      <w:r>
        <w:rPr>
          <w:rFonts w:ascii="Arial" w:hAnsi="Arial" w:eastAsia="Arial"/>
          <w:b/>
          <w:color w:val="FF6B35"/>
          <w:sz w:val="17"/>
        </w:rPr>
        <w:t>SYNTHETIC PORTFOLIO</w:t>
      </w:r>
    </w:p>
    <w:p>
      <w:pPr>
        <w:pStyle w:val="Heading1"/>
        <w:keepNext/>
      </w:pPr>
      <w:r>
        <w:t>Ten client projects</w:t>
      </w:r>
    </w:p>
    <w:p>
      <w:pPr>
        <w:spacing w:after="200"/>
      </w:pPr>
      <w:r>
        <w:t>The portfolio is designed to demonstrate different sectors, decision problems, data shapes, expert roles, and app combinations.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691"/>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Code</w:t>
            </w:r>
          </w:p>
        </w:tc>
        <w:tc>
          <w:tcPr>
            <w:tcW w:type="dxa" w:w="2333"/>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Sector and client</w:t>
            </w:r>
          </w:p>
        </w:tc>
        <w:tc>
          <w:tcPr>
            <w:tcW w:type="dxa" w:w="216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Project</w:t>
            </w:r>
          </w:p>
        </w:tc>
        <w:tc>
          <w:tcPr>
            <w:tcW w:type="dxa" w:w="439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Problem demonstrated</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P-001</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Mobility and EV</w:t>
              <w:br/>
              <w:t>Apex Mobility</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Anode Shield</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Graphite concentration, port delay, qualification, launch service, and margin exposure</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P-002</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Life Sciences</w:t>
              <w:br/>
              <w:t>Helixora Therapeutics</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Cold Chain Promise</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Batch release, refrigerated storage, scarce packaging, patient priority, and stability windows</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P-003</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Semiconductors</w:t>
              <w:br/>
              <w:t>OrionSilicon Foundry</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Fab Recovery X9</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Tool failure, utilities, chemicals, work in process, qualification, and customer allocation</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P-004</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Food and Agriculture</w:t>
              <w:br/>
              <w:t>Verdant Foods Cooperative</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Harvest to Shelf</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Seasonality, perishability, farm supply, cold slots, labor, and food waste</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P-005</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Aerospace</w:t>
              <w:br/>
              <w:t>Stratos Aero Systems</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Forging Continuity</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Certified titanium forgings, opaque subtiers, long lead times, and second-source qualification</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P-006</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Energy and Grid</w:t>
              <w:br/>
              <w:t>Solara Gridworks</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Copper and Rare Earth Portfolio</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Mineral price, refining concentration, capacity, carbon, cash, and portfolio choice</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P-007</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Mining and Critical Minerals</w:t>
              <w:br/>
              <w:t>TerraMetals Alliance</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Lithium to Cell Provenance</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Mine, refinery, offtake, water, permit, rights, origin, and traceability constraints</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P-008</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Ports and Maritime</w:t>
              <w:br/>
              <w:t>BlueHarbor Ports and Cargo</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Global Berth to Door</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Berths, vessels, containers, customs, labor, secure handoffs, and inland transfers</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P-009</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Industrial Automation</w:t>
              <w:br/>
              <w:t>TitanWorks Robotics</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Factory and Service Continuity</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Machine reliability, scarce skills, production, service spares, and installed-base uptime</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P-010</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Retail and Ecommerce</w:t>
              <w:br/>
              <w:t>Meridian Commerce Group</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Omnichannel Peak</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Promotion demand, available to promise, picking labor, fleet capacity, last mile, and margin</w:t>
            </w:r>
          </w:p>
        </w:tc>
      </w:tr>
    </w:tbl>
    <w:p>
      <w:pPr>
        <w:spacing w:after="0" w:before="0"/>
      </w:pPr>
    </w:p>
    <w:p>
      <w:r>
        <w:rPr>
          <w:rFonts w:ascii="Arial" w:hAnsi="Arial" w:eastAsia="Arial"/>
          <w:b/>
        </w:rPr>
        <w:t xml:space="preserve">Demonstration note  </w:t>
      </w:r>
      <w:r>
        <w:t>Each project uses synthetic scale, metric, app, agent, method, and variable records. These records show how a production project could be structured; they do not represent the named organizations.</w:t>
      </w:r>
    </w:p>
    <w:p>
      <w:r>
        <w:br w:type="page"/>
      </w:r>
    </w:p>
    <w:p>
      <w:pPr>
        <w:spacing w:after="100"/>
      </w:pPr>
      <w:r>
        <w:rPr>
          <w:rFonts w:ascii="Arial" w:hAnsi="Arial" w:eastAsia="Arial"/>
          <w:b/>
          <w:color w:val="FF6B35"/>
          <w:sz w:val="17"/>
        </w:rPr>
        <w:t>PROJECT WORKSPACE</w:t>
      </w:r>
    </w:p>
    <w:p>
      <w:pPr>
        <w:pStyle w:val="Heading1"/>
        <w:keepNext/>
      </w:pPr>
      <w:r>
        <w:t>Project tabs</w:t>
      </w:r>
    </w:p>
    <w:p>
      <w:pPr>
        <w:spacing w:after="200"/>
      </w:pPr>
      <w:r>
        <w:t>The tabs separate the jobs that specialists perform while keeping one project memory underneath them.</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4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Tab</w:t>
            </w:r>
          </w:p>
        </w:tc>
        <w:tc>
          <w:tcPr>
            <w:tcW w:type="dxa" w:w="31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Use it for</w:t>
            </w:r>
          </w:p>
        </w:tc>
        <w:tc>
          <w:tcPr>
            <w:tcW w:type="dxa" w:w="38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Important interactions</w:t>
            </w:r>
          </w:p>
        </w:tc>
        <w:tc>
          <w:tcPr>
            <w:tcW w:type="dxa" w:w="14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End state</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Project home</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Read outcome, project KPIs, mounted app summary, decision preview, and knowledge footprint.</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Open KPI evidence, governed case, app, agent society, or project data.</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Evidence drawer or destination workspace</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Decisions</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Decompose the project outcome into D0 through D3 decisions.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Select a decision, open its evidence, inspect L2 L1 L0 variables, open method references, create review draft.</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Expert review draft receipt</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Mounted apps</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See the dependency graph and project-specific app contracts.</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Mount or unmount eligible apps, inspect mount manifest, open an app studio.</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Project app studio</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Project data</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Stage project-owned data and inspect dataset contracts.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Choose local file metadata or sample, advance stages, open dataset evidence and adapter previews.</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Session dataset receipt</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Knowledge graph</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Inspect project entities and trace an agent path across evidence, variables, calculations, and decisions.</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Select nodes, open receipts, play trace, add visual steering constraints.</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Trace context updated</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Agent society</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Work in a minimal code-style chat with specialist profiles.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Select agent, enter prompt, advance or cancel trace, steer, inspect experience, create draft agent.</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Human gate or draft manifest receipt</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Expert team</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Put human specialists in the loop.</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Inspect experience, specialties, active work, decision rights, and assign or remove experts.</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Session assignment receipt</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Governance</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Review current concept controls and production gaps.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Inspect evidence, control status, and boundary statements.</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Governance receipt</w:t>
            </w:r>
          </w:p>
        </w:tc>
      </w:tr>
    </w:tbl>
    <w:p>
      <w:pPr>
        <w:spacing w:after="0" w:before="0"/>
      </w:pPr>
    </w:p>
    <w:p>
      <w:pPr>
        <w:pStyle w:val="Heading2"/>
        <w:keepNext/>
      </w:pPr>
      <w:r>
        <w:t>What project persistence means</w:t>
      </w:r>
    </w:p>
    <w:p>
      <w:r>
        <w:t>The concept preserves per-project state in browser memory only. A production implementation needs authenticated tenant context, project authorization, encrypted object storage, a project registry, lineage storage, versioned event history, retention policies, and audit controls. Do not interpret session restoration as backend persistence.</w:t>
      </w:r>
    </w:p>
    <w:p>
      <w:r>
        <w:br w:type="page"/>
      </w:r>
    </w:p>
    <w:p>
      <w:pPr>
        <w:spacing w:after="100"/>
      </w:pPr>
      <w:r>
        <w:rPr>
          <w:rFonts w:ascii="Arial" w:hAnsi="Arial" w:eastAsia="Arial"/>
          <w:b/>
          <w:color w:val="FF6B35"/>
          <w:sz w:val="17"/>
        </w:rPr>
        <w:t>INTERACTION COMPLETENESS</w:t>
      </w:r>
    </w:p>
    <w:p>
      <w:pPr>
        <w:pStyle w:val="Heading1"/>
        <w:keepNext/>
      </w:pPr>
      <w:r>
        <w:t>Clickable surfaces and terminal states</w:t>
      </w:r>
    </w:p>
    <w:p>
      <w:pPr>
        <w:spacing w:after="200"/>
      </w:pPr>
      <w:r>
        <w:t>Use this section to explain what a control does and how the user knows that it completed.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65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Control family</w:t>
            </w:r>
          </w:p>
        </w:tc>
        <w:tc>
          <w:tcPr>
            <w:tcW w:type="dxa" w:w="338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Expected behavior</w:t>
            </w:r>
          </w:p>
        </w:tc>
        <w:tc>
          <w:tcPr>
            <w:tcW w:type="dxa" w:w="309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Visible completion</w:t>
            </w:r>
          </w:p>
        </w:tc>
        <w:tc>
          <w:tcPr>
            <w:tcW w:type="dxa" w:w="180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No silent claim</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Navigation and search</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Open the selected platform, project, tab, app, case, graph, or agent surface and update the URL.</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Destination heading receives focus and Back restores the route.</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placeholder page</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Filters and selectors</w:t>
            </w:r>
          </w:p>
        </w:tc>
        <w:tc>
          <w:tcPr>
            <w:tcW w:type="dxa" w:w="338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Recalculate or filter the deterministic fixture shown on screen.</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Selection, counts, chart, map, list, or inspector changes.</w:t>
            </w:r>
          </w:p>
        </w:tc>
        <w:tc>
          <w:tcPr>
            <w:tcW w:type="dxa" w:w="180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external refresh</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Metric and evidence controls</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Open a project evidence drawer or session action receipt.</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Receipt names the value, basis, context, and boundary.</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unsupported source access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Create and update controls</w:t>
            </w:r>
          </w:p>
        </w:tc>
        <w:tc>
          <w:tcPr>
            <w:tcW w:type="dxa" w:w="338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Change browser-session state only when the user has enough context.</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Saved or Completed receipt, updated local state, and receipt ledger entry.</w:t>
            </w:r>
          </w:p>
        </w:tc>
        <w:tc>
          <w:tcPr>
            <w:tcW w:type="dxa" w:w="180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backend persistence</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Blocked controls</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Stay disabled or return a specific reason when prerequisites are missing.</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Blocked receipt or visible gate explanation.</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pretend success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Future connectors</w:t>
            </w:r>
          </w:p>
        </w:tc>
        <w:tc>
          <w:tcPr>
            <w:tcW w:type="dxa" w:w="338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a preview or contract rather than simulate a hidden integration.</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Future adapter explanation and missing production requirements.</w:t>
            </w:r>
          </w:p>
        </w:tc>
        <w:tc>
          <w:tcPr>
            <w:tcW w:type="dxa" w:w="180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credential or service created</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Approval and release</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Apply the case lifecycle gate and named human authority.</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Session-only stage change or an exact blocker.</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ERP TMS WMS or payment write-back</w:t>
            </w:r>
          </w:p>
        </w:tc>
      </w:tr>
    </w:tbl>
    <w:p>
      <w:pPr>
        <w:spacing w:after="0" w:before="0"/>
      </w:pPr>
    </w:p>
    <w:p>
      <w:pPr>
        <w:pStyle w:val="Heading2"/>
        <w:keepNext/>
      </w:pPr>
      <w:r>
        <w:t>Session receipt ledger</w:t>
      </w:r>
    </w:p>
    <w:p>
      <w:pPr>
        <w:pStyle w:val="ListBullet"/>
      </w:pPr>
      <w:r>
        <w:t>Any outcome-producing control creates a receipt with status, artifact ID, recorded context, timestamp, and execution boundary.</w:t>
      </w:r>
    </w:p>
    <w:p>
      <w:pPr>
        <w:pStyle w:val="ListBullet"/>
      </w:pPr>
      <w:r>
        <w:t>Open the user menu and choose Open session receipt ledger to revisit the most recent receipt.</w:t>
      </w:r>
    </w:p>
    <w:p>
      <w:pPr>
        <w:pStyle w:val="ListBullet"/>
      </w:pPr>
      <w:r>
        <w:t>The ledger retains up to 24 entries in the current browser session. It is not a production audit store.</w:t>
      </w:r>
    </w:p>
    <w:p>
      <w:r>
        <w:br w:type="page"/>
      </w:r>
    </w:p>
    <w:p>
      <w:pPr>
        <w:spacing w:after="100"/>
      </w:pPr>
      <w:r>
        <w:rPr>
          <w:rFonts w:ascii="Arial" w:hAnsi="Arial" w:eastAsia="Arial"/>
          <w:b/>
          <w:color w:val="FF6B35"/>
          <w:sz w:val="17"/>
        </w:rPr>
        <w:t>DECISION OPERATIONS</w:t>
      </w:r>
    </w:p>
    <w:p>
      <w:pPr>
        <w:pStyle w:val="Heading1"/>
        <w:keepNext/>
      </w:pPr>
      <w:r>
        <w:t>From signal to governed decision</w:t>
      </w:r>
    </w:p>
    <w:p>
      <w:pPr>
        <w:spacing w:after="200"/>
      </w:pPr>
      <w:r>
        <w:t>Decision operations sit inside the project workspace. They connect app evidence to a case, human authority, execution package, and measurable outcome.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03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Stage</w:t>
            </w:r>
          </w:p>
        </w:tc>
        <w:tc>
          <w:tcPr>
            <w:tcW w:type="dxa" w:w="230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Question</w:t>
            </w:r>
          </w:p>
        </w:tc>
        <w:tc>
          <w:tcPr>
            <w:tcW w:type="dxa" w:w="49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Required content</w:t>
            </w:r>
          </w:p>
        </w:tc>
        <w:tc>
          <w:tcPr>
            <w:tcW w:type="dxa" w:w="1555"/>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Exit condition in the concept</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Detect</w:t>
            </w:r>
          </w:p>
        </w:tc>
        <w:tc>
          <w:tcPr>
            <w:tcW w:type="dxa" w:w="2304"/>
            <w:vAlign w:val="center"/>
            <w:tcMar>
              <w:top w:w="90" w:type="dxa"/>
              <w:start w:w="100" w:type="dxa"/>
              <w:bottom w:w="90" w:type="dxa"/>
              <w:end w:w="100" w:type="dxa"/>
            </w:tcMar>
          </w:tcPr>
          <w:p>
            <w:pPr>
              <w:spacing w:after="0" w:line="259" w:lineRule="auto"/>
            </w:pPr>
            <w:r>
              <w:rPr>
                <w:rFonts w:ascii="Arial" w:hAnsi="Arial" w:eastAsia="Arial"/>
                <w:color w:val="111815"/>
                <w:sz w:val="16"/>
              </w:rPr>
              <w:t>What changed and why might it matter</w:t>
            </w:r>
          </w:p>
        </w:tc>
        <w:tc>
          <w:tcPr>
            <w:tcW w:type="dxa" w:w="4968"/>
            <w:vAlign w:val="center"/>
            <w:tcMar>
              <w:top w:w="90" w:type="dxa"/>
              <w:start w:w="100" w:type="dxa"/>
              <w:bottom w:w="90" w:type="dxa"/>
              <w:end w:w="100" w:type="dxa"/>
            </w:tcMar>
          </w:tcPr>
          <w:p>
            <w:pPr>
              <w:spacing w:after="0" w:line="259" w:lineRule="auto"/>
            </w:pPr>
            <w:r>
              <w:rPr>
                <w:rFonts w:ascii="Arial" w:hAnsi="Arial" w:eastAsia="Arial"/>
                <w:color w:val="111815"/>
                <w:sz w:val="16"/>
              </w:rPr>
              <w:t>Signal, affected entity, horizon, confidence, initial value exposure</w:t>
            </w:r>
          </w:p>
        </w:tc>
        <w:tc>
          <w:tcPr>
            <w:tcW w:type="dxa" w:w="1555"/>
            <w:vAlign w:val="center"/>
            <w:tcMar>
              <w:top w:w="90" w:type="dxa"/>
              <w:start w:w="100" w:type="dxa"/>
              <w:bottom w:w="90" w:type="dxa"/>
              <w:end w:w="100" w:type="dxa"/>
            </w:tcMar>
          </w:tcPr>
          <w:p>
            <w:pPr>
              <w:spacing w:after="0" w:line="259" w:lineRule="auto"/>
            </w:pPr>
            <w:r>
              <w:rPr>
                <w:rFonts w:ascii="Arial" w:hAnsi="Arial" w:eastAsia="Arial"/>
                <w:color w:val="111815"/>
                <w:sz w:val="16"/>
              </w:rPr>
              <w:t>Named case exists</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Validate</w:t>
            </w:r>
          </w:p>
        </w:tc>
        <w:tc>
          <w:tcPr>
            <w:tcW w:type="dxa" w:w="230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Is the signal credible and relevant</w:t>
            </w:r>
          </w:p>
        </w:tc>
        <w:tc>
          <w:tcPr>
            <w:tcW w:type="dxa" w:w="49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Evidence records, source references, data quality, graph path, project variable contract</w:t>
            </w:r>
          </w:p>
        </w:tc>
        <w:tc>
          <w:tcPr>
            <w:tcW w:type="dxa" w:w="1555"/>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Evidence threshold reached</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Simulate</w:t>
            </w:r>
          </w:p>
        </w:tc>
        <w:tc>
          <w:tcPr>
            <w:tcW w:type="dxa" w:w="2304"/>
            <w:vAlign w:val="center"/>
            <w:tcMar>
              <w:top w:w="90" w:type="dxa"/>
              <w:start w:w="100" w:type="dxa"/>
              <w:bottom w:w="90" w:type="dxa"/>
              <w:end w:w="100" w:type="dxa"/>
            </w:tcMar>
          </w:tcPr>
          <w:p>
            <w:pPr>
              <w:spacing w:after="0" w:line="259" w:lineRule="auto"/>
            </w:pPr>
            <w:r>
              <w:rPr>
                <w:rFonts w:ascii="Arial" w:hAnsi="Arial" w:eastAsia="Arial"/>
                <w:color w:val="111815"/>
                <w:sz w:val="16"/>
              </w:rPr>
              <w:t>What responses are feasible under uncertainty</w:t>
            </w:r>
          </w:p>
        </w:tc>
        <w:tc>
          <w:tcPr>
            <w:tcW w:type="dxa" w:w="4968"/>
            <w:vAlign w:val="center"/>
            <w:tcMar>
              <w:top w:w="90" w:type="dxa"/>
              <w:start w:w="100" w:type="dxa"/>
              <w:bottom w:w="90" w:type="dxa"/>
              <w:end w:w="100" w:type="dxa"/>
            </w:tcMar>
          </w:tcPr>
          <w:p>
            <w:pPr>
              <w:spacing w:after="0" w:line="259" w:lineRule="auto"/>
            </w:pPr>
            <w:r>
              <w:rPr>
                <w:rFonts w:ascii="Arial" w:hAnsi="Arial" w:eastAsia="Arial"/>
                <w:color w:val="111815"/>
                <w:sz w:val="16"/>
              </w:rPr>
              <w:t>Scenarios, constraints, assumptions, method stack, service, cost, cash, risk, carbon</w:t>
            </w:r>
          </w:p>
        </w:tc>
        <w:tc>
          <w:tcPr>
            <w:tcW w:type="dxa" w:w="1555"/>
            <w:vAlign w:val="center"/>
            <w:tcMar>
              <w:top w:w="90" w:type="dxa"/>
              <w:start w:w="100" w:type="dxa"/>
              <w:bottom w:w="90" w:type="dxa"/>
              <w:end w:w="100" w:type="dxa"/>
            </w:tcMar>
          </w:tcPr>
          <w:p>
            <w:pPr>
              <w:spacing w:after="0" w:line="259" w:lineRule="auto"/>
            </w:pPr>
            <w:r>
              <w:rPr>
                <w:rFonts w:ascii="Arial" w:hAnsi="Arial" w:eastAsia="Arial"/>
                <w:color w:val="111815"/>
                <w:sz w:val="16"/>
              </w:rPr>
              <w:t>Candidate inside hard envelope</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Approve</w:t>
            </w:r>
          </w:p>
        </w:tc>
        <w:tc>
          <w:tcPr>
            <w:tcW w:type="dxa" w:w="230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Who can accept the tradeoff</w:t>
            </w:r>
          </w:p>
        </w:tc>
        <w:tc>
          <w:tcPr>
            <w:tcW w:type="dxa" w:w="49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Recommendation, evidence, finance review, decision rights, fallback</w:t>
            </w:r>
          </w:p>
        </w:tc>
        <w:tc>
          <w:tcPr>
            <w:tcW w:type="dxa" w:w="1555"/>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Named human approval</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Execute</w:t>
            </w:r>
          </w:p>
        </w:tc>
        <w:tc>
          <w:tcPr>
            <w:tcW w:type="dxa" w:w="2304"/>
            <w:vAlign w:val="center"/>
            <w:tcMar>
              <w:top w:w="90" w:type="dxa"/>
              <w:start w:w="100" w:type="dxa"/>
              <w:bottom w:w="90" w:type="dxa"/>
              <w:end w:w="100" w:type="dxa"/>
            </w:tcMar>
          </w:tcPr>
          <w:p>
            <w:pPr>
              <w:spacing w:after="0" w:line="259" w:lineRule="auto"/>
            </w:pPr>
            <w:r>
              <w:rPr>
                <w:rFonts w:ascii="Arial" w:hAnsi="Arial" w:eastAsia="Arial"/>
                <w:color w:val="111815"/>
                <w:sz w:val="16"/>
              </w:rPr>
              <w:t>What work packages should be released</w:t>
            </w:r>
          </w:p>
        </w:tc>
        <w:tc>
          <w:tcPr>
            <w:tcW w:type="dxa" w:w="4968"/>
            <w:vAlign w:val="center"/>
            <w:tcMar>
              <w:top w:w="90" w:type="dxa"/>
              <w:start w:w="100" w:type="dxa"/>
              <w:bottom w:w="90" w:type="dxa"/>
              <w:end w:w="100" w:type="dxa"/>
            </w:tcMar>
          </w:tcPr>
          <w:p>
            <w:pPr>
              <w:spacing w:after="0" w:line="259" w:lineRule="auto"/>
            </w:pPr>
            <w:r>
              <w:rPr>
                <w:rFonts w:ascii="Arial" w:hAnsi="Arial" w:eastAsia="Arial"/>
                <w:color w:val="111815"/>
                <w:sz w:val="16"/>
              </w:rPr>
              <w:t>Tasks, owners, timing, interfaces, status, rollback or fallback</w:t>
            </w:r>
          </w:p>
        </w:tc>
        <w:tc>
          <w:tcPr>
            <w:tcW w:type="dxa" w:w="1555"/>
            <w:vAlign w:val="center"/>
            <w:tcMar>
              <w:top w:w="90" w:type="dxa"/>
              <w:start w:w="100" w:type="dxa"/>
              <w:bottom w:w="90" w:type="dxa"/>
              <w:end w:w="100" w:type="dxa"/>
            </w:tcMar>
          </w:tcPr>
          <w:p>
            <w:pPr>
              <w:spacing w:after="0" w:line="259" w:lineRule="auto"/>
            </w:pPr>
            <w:r>
              <w:rPr>
                <w:rFonts w:ascii="Arial" w:hAnsi="Arial" w:eastAsia="Arial"/>
                <w:color w:val="111815"/>
                <w:sz w:val="16"/>
              </w:rPr>
              <w:t>Session execution state</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Measure</w:t>
            </w:r>
          </w:p>
        </w:tc>
        <w:tc>
          <w:tcPr>
            <w:tcW w:type="dxa" w:w="230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Did the decision produce the expected outcome</w:t>
            </w:r>
          </w:p>
        </w:tc>
        <w:tc>
          <w:tcPr>
            <w:tcW w:type="dxa" w:w="49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Baseline, target, realized value, measurement window, overrides, failure modes</w:t>
            </w:r>
          </w:p>
        </w:tc>
        <w:tc>
          <w:tcPr>
            <w:tcW w:type="dxa" w:w="1555"/>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Outcome receipt</w:t>
            </w:r>
          </w:p>
        </w:tc>
      </w:tr>
    </w:tbl>
    <w:p>
      <w:pPr>
        <w:spacing w:after="0" w:before="0"/>
      </w:pPr>
    </w:p>
    <w:p>
      <w:pPr>
        <w:pStyle w:val="Heading2"/>
        <w:keepNext/>
      </w:pPr>
      <w:r>
        <w:t>Decision tree and variable taxonomy</w:t>
      </w:r>
    </w:p>
    <w:p>
      <w:r>
        <w:t>The D0 to D3 decision hierarchy is different from the supply chain variable taxonomy. D0 to D3 expresses choice decomposition. L2, L1, and L0 identify drivers and measurable variables. A decision node references the relevant taxonomy pack and OR methods, then points to evidence. The current project packs use canonical identifiers from the taxonomy rather than invented labels.</w:t>
      </w:r>
    </w:p>
    <w:p>
      <w:pPr>
        <w:spacing w:after="40"/>
        <w:ind w:left="360"/>
      </w:pPr>
      <w:r>
        <w:rPr>
          <w:rFonts w:ascii="Consolas" w:hAnsi="Consolas" w:eastAsia="Consolas"/>
          <w:color w:val="111815"/>
          <w:sz w:val="16"/>
        </w:rPr>
        <w:t>D0 project outcome decision</w:t>
      </w:r>
    </w:p>
    <w:p>
      <w:pPr>
        <w:spacing w:after="40"/>
        <w:ind w:left="360"/>
      </w:pPr>
      <w:r>
        <w:rPr>
          <w:rFonts w:ascii="Consolas" w:hAnsi="Consolas" w:eastAsia="Consolas"/>
          <w:color w:val="111815"/>
          <w:sz w:val="16"/>
        </w:rPr>
        <w:t xml:space="preserve">  D1 portfolio or policy decision</w:t>
      </w:r>
    </w:p>
    <w:p>
      <w:pPr>
        <w:spacing w:after="40"/>
        <w:ind w:left="360"/>
      </w:pPr>
      <w:r>
        <w:rPr>
          <w:rFonts w:ascii="Consolas" w:hAnsi="Consolas" w:eastAsia="Consolas"/>
          <w:color w:val="111815"/>
          <w:sz w:val="16"/>
        </w:rPr>
        <w:t xml:space="preserve">    D2 sourcing production logistics or demand decision</w:t>
      </w:r>
    </w:p>
    <w:p>
      <w:pPr>
        <w:spacing w:after="40"/>
        <w:ind w:left="360"/>
      </w:pPr>
      <w:r>
        <w:rPr>
          <w:rFonts w:ascii="Consolas" w:hAnsi="Consolas" w:eastAsia="Consolas"/>
          <w:color w:val="111815"/>
          <w:sz w:val="16"/>
        </w:rPr>
        <w:t xml:space="preserve">      D3 executable choice</w:t>
      </w:r>
    </w:p>
    <w:p>
      <w:pPr>
        <w:spacing w:after="40"/>
        <w:ind w:left="360"/>
      </w:pPr>
      <w:r>
        <w:rPr>
          <w:rFonts w:ascii="Consolas" w:hAnsi="Consolas" w:eastAsia="Consolas"/>
          <w:color w:val="111815"/>
          <w:sz w:val="16"/>
        </w:rPr>
        <w:t xml:space="preserve">        L2 driver family</w:t>
      </w:r>
    </w:p>
    <w:p>
      <w:pPr>
        <w:spacing w:after="40"/>
        <w:ind w:left="360"/>
      </w:pPr>
      <w:r>
        <w:rPr>
          <w:rFonts w:ascii="Consolas" w:hAnsi="Consolas" w:eastAsia="Consolas"/>
          <w:color w:val="111815"/>
          <w:sz w:val="16"/>
        </w:rPr>
        <w:t xml:space="preserve">          L1 subdriver</w:t>
      </w:r>
    </w:p>
    <w:p>
      <w:pPr>
        <w:spacing w:after="40"/>
        <w:ind w:left="360"/>
      </w:pPr>
      <w:r>
        <w:rPr>
          <w:rFonts w:ascii="Consolas" w:hAnsi="Consolas" w:eastAsia="Consolas"/>
          <w:color w:val="111815"/>
          <w:sz w:val="16"/>
        </w:rPr>
        <w:t xml:space="preserve">            L0 measurable variable</w:t>
      </w:r>
    </w:p>
    <w:p>
      <w:pPr>
        <w:spacing w:after="40"/>
        <w:ind w:left="360"/>
      </w:pPr>
      <w:r>
        <w:rPr>
          <w:rFonts w:ascii="Consolas" w:hAnsi="Consolas" w:eastAsia="Consolas"/>
          <w:color w:val="111815"/>
          <w:sz w:val="16"/>
        </w:rPr>
        <w:t xml:space="preserve">              calculation and evidence receipt</w:t>
      </w:r>
    </w:p>
    <w:p>
      <w:r>
        <w:br w:type="page"/>
      </w:r>
    </w:p>
    <w:p>
      <w:pPr>
        <w:spacing w:after="100"/>
      </w:pPr>
      <w:r>
        <w:rPr>
          <w:rFonts w:ascii="Arial" w:hAnsi="Arial" w:eastAsia="Arial"/>
          <w:b/>
          <w:color w:val="FF6B35"/>
          <w:sz w:val="17"/>
        </w:rPr>
        <w:t>SPECIALIST APPLICATIONS</w:t>
      </w:r>
    </w:p>
    <w:p>
      <w:pPr>
        <w:pStyle w:val="Heading1"/>
        <w:keepNext/>
      </w:pPr>
      <w:r>
        <w:t>Ten distinct app workspaces</w:t>
      </w:r>
    </w:p>
    <w:p>
      <w:pPr>
        <w:spacing w:after="200"/>
      </w:pPr>
      <w:r>
        <w:t>Each application has its own visual grammar and operating rhythm. All apps use the same project graph and evidence contracts, but they do not look or behave like interchangeable dashboards.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699"/>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Application</w:t>
            </w:r>
          </w:p>
        </w:tc>
        <w:tc>
          <w:tcPr>
            <w:tcW w:type="dxa" w:w="403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Visual and interaction model</w:t>
            </w:r>
          </w:p>
        </w:tc>
        <w:tc>
          <w:tcPr>
            <w:tcW w:type="dxa" w:w="331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Primary job</w:t>
            </w:r>
          </w:p>
        </w:tc>
        <w:tc>
          <w:tcPr>
            <w:tcW w:type="dxa" w:w="158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Output</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RiskRadar</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Coral signal room with propagation bubbles, criticality filters, and causal change ledger</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Trace a disruption through suppliers, materials, plants, products, orders, and margin</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Risk control brief</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Network Optimizer</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Lime formulation editor, method library, scenario lab, Pareto view, run console, and release gate</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Frame and compare a feasible sourcing, capacity, inventory, or logistics response</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Versioned solution package</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FlowLens</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Cyan material-to-cash waterfall and action queue</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Show where inventory, transit, terms, or delays trap cash and margin</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Cash action package</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DemandSense</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Violet forecast fan, causal notebook, scenario controls, and gap table</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Commit an explainable demand range and expose supply gaps</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Demand contract</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SupplierGraph</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Green n-tier dependency graph and qualification funnel</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Find dependency, ownership, capability, alternative source, and evidence gaps</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Qualified shortlist</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MineralAtlas</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Copper reserve-to-refinery world atlas with mineral and country selectors</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Trace critical mineral concentration from country to product</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Mineral sourcing scenario</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WorkforceStudio</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Indigo skills matrix and shift builder</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Match qualified people to constrained work and expose certification gaps</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Workforce capacity plan</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ManufacturingTwin</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Steel-blue plant flow, constraint timeline, and schedule controls</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Schedule bottlenecks, maintenance, yield, and production commitments</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Production plan</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LogisticsRadar</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Teal radar map and transfer playback</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Control cargo, route, customs, custody, and last-mile handoffs</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Route and handoff plan</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QualityGenealogy</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Amber batch genealogy and release gate</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Trace lot, process, certificate, deviation, release, and customer consequence</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Release or containment plan</w:t>
            </w:r>
          </w:p>
        </w:tc>
      </w:tr>
    </w:tbl>
    <w:p>
      <w:pPr>
        <w:spacing w:after="0" w:before="0"/>
      </w:pPr>
    </w:p>
    <w:p>
      <w:r>
        <w:br w:type="page"/>
      </w:r>
    </w:p>
    <w:p>
      <w:pPr>
        <w:spacing w:after="100"/>
      </w:pPr>
      <w:r>
        <w:rPr>
          <w:rFonts w:ascii="Arial" w:hAnsi="Arial" w:eastAsia="Arial"/>
          <w:b/>
          <w:color w:val="FF6B35"/>
          <w:sz w:val="17"/>
        </w:rPr>
        <w:t>APP OPERATING MODEL</w:t>
      </w:r>
    </w:p>
    <w:p>
      <w:pPr>
        <w:pStyle w:val="Heading1"/>
        <w:keepNext/>
      </w:pPr>
      <w:r>
        <w:t>How to inspect an app</w:t>
      </w:r>
    </w:p>
    <w:p>
      <w:pPr>
        <w:spacing w:after="200"/>
      </w:pPr>
      <w:r>
        <w:t>The first screen answers the specialist question. The operating model beneath it explains how that app should function as a governed product.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Section</w:t>
            </w:r>
          </w:p>
        </w:tc>
        <w:tc>
          <w:tcPr>
            <w:tcW w:type="dxa" w:w="662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to inspect</w:t>
            </w:r>
          </w:p>
        </w:tc>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Trace action</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Operating model</w:t>
            </w:r>
          </w:p>
        </w:tc>
        <w:tc>
          <w:tcPr>
            <w:tcW w:type="dxa" w:w="6624"/>
            <w:vAlign w:val="center"/>
            <w:tcMar>
              <w:top w:w="90" w:type="dxa"/>
              <w:start w:w="100" w:type="dxa"/>
              <w:bottom w:w="90" w:type="dxa"/>
              <w:end w:w="100" w:type="dxa"/>
            </w:tcMar>
          </w:tcPr>
          <w:p>
            <w:pPr>
              <w:spacing w:after="0" w:line="259" w:lineRule="auto"/>
            </w:pPr>
            <w:r>
              <w:rPr>
                <w:rFonts w:ascii="Arial" w:hAnsi="Arial" w:eastAsia="Arial"/>
                <w:color w:val="111815"/>
                <w:sz w:val="16"/>
              </w:rPr>
              <w:t>Decision question, primary users, cadence, horizon, decision rights, workflow gates, accountable roles, and exit criteria</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Use the app-specific controls and case links</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Methods</w:t>
            </w:r>
          </w:p>
        </w:tc>
        <w:tc>
          <w:tcPr>
            <w:tcW w:type="dxa" w:w="662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Purpose, model family, formulation, and validation contract for each app method</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method reference receipt</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Data and controls</w:t>
            </w:r>
          </w:p>
        </w:tc>
        <w:tc>
          <w:tcPr>
            <w:tcW w:type="dxa" w:w="6624"/>
            <w:vAlign w:val="center"/>
            <w:tcMar>
              <w:top w:w="90" w:type="dxa"/>
              <w:start w:w="100" w:type="dxa"/>
              <w:bottom w:w="90" w:type="dxa"/>
              <w:end w:w="100" w:type="dxa"/>
            </w:tcMar>
          </w:tcPr>
          <w:p>
            <w:pPr>
              <w:spacing w:after="0" w:line="259" w:lineRule="auto"/>
            </w:pPr>
            <w:r>
              <w:rPr>
                <w:rFonts w:ascii="Arial" w:hAnsi="Arial" w:eastAsia="Arial"/>
                <w:color w:val="111815"/>
                <w:sz w:val="16"/>
              </w:rPr>
              <w:t>Data grain, expected source, target freshness, fitness checks, policy rule, owner, and evidence</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Open data contract or control receipt</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Measure and hand off</w:t>
            </w:r>
          </w:p>
        </w:tc>
        <w:tc>
          <w:tcPr>
            <w:tcW w:type="dxa" w:w="662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KPI definition, target, accountable owner, downstream destination, trigger, artifact, and limitation</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KPI or handoff receipt</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Change and learning</w:t>
            </w:r>
          </w:p>
        </w:tc>
        <w:tc>
          <w:tcPr>
            <w:tcW w:type="dxa" w:w="6624"/>
            <w:vAlign w:val="center"/>
            <w:tcMar>
              <w:top w:w="90" w:type="dxa"/>
              <w:start w:w="100" w:type="dxa"/>
              <w:bottom w:w="90" w:type="dxa"/>
              <w:end w:w="100" w:type="dxa"/>
            </w:tcMar>
          </w:tcPr>
          <w:p>
            <w:pPr>
              <w:spacing w:after="0" w:line="259" w:lineRule="auto"/>
            </w:pPr>
            <w:r>
              <w:rPr>
                <w:rFonts w:ascii="Arial" w:hAnsi="Arial" w:eastAsia="Arial"/>
                <w:color w:val="111815"/>
                <w:sz w:val="16"/>
              </w:rPr>
              <w:t>Before, current, forecast, delta, explanation, confidence, trigger, owner, and expected outcome feedback</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Trace selected change</w:t>
            </w:r>
          </w:p>
        </w:tc>
      </w:tr>
    </w:tbl>
    <w:p>
      <w:pPr>
        <w:spacing w:after="0" w:before="0"/>
      </w:pPr>
    </w:p>
    <w:p>
      <w:pPr>
        <w:pStyle w:val="Heading2"/>
        <w:keepNext/>
      </w:pPr>
      <w:r>
        <w:t>Mounted app dependency graph</w:t>
      </w:r>
    </w:p>
    <w:p>
      <w:r>
        <w:t>The app graph explains how applications cooperate without collapsing into one interface. DemandSense can inform Network Optimizer. SupplierGraph and MineralAtlas can challenge sourcing feasibility. ManufacturingTwin and WorkforceStudio can constrain capacity. LogisticsRadar can validate route execution. QualityGenealogy can block release. RiskRadar can propagate external and operational change. FlowLens can translate a candidate into cash and margin. Every edge should identify the project, source app, target app, shared entity keys, variable IDs, evidence version, and handoff status in production.</w:t>
      </w:r>
    </w:p>
    <w:p>
      <w:pPr>
        <w:pStyle w:val="ListBullet"/>
      </w:pPr>
      <w:r>
        <w:t>Open an app from Mounted apps to keep the project context and selected case.</w:t>
      </w:r>
    </w:p>
    <w:p>
      <w:pPr>
        <w:pStyle w:val="ListBullet"/>
      </w:pPr>
      <w:r>
        <w:t>Use Mount or Unmount to change the session manifest. Core project views remain available even when an app is unmounted.</w:t>
      </w:r>
    </w:p>
    <w:p>
      <w:pPr>
        <w:pStyle w:val="ListBullet"/>
      </w:pPr>
      <w:r>
        <w:t>Open the mount manifest receipt to see the fixture count and project boundary.</w:t>
      </w:r>
    </w:p>
    <w:p>
      <w:r>
        <w:br w:type="page"/>
      </w:r>
    </w:p>
    <w:p>
      <w:pPr>
        <w:spacing w:after="100"/>
      </w:pPr>
      <w:r>
        <w:rPr>
          <w:rFonts w:ascii="Arial" w:hAnsi="Arial" w:eastAsia="Arial"/>
          <w:b/>
          <w:color w:val="FF6B35"/>
          <w:sz w:val="17"/>
        </w:rPr>
        <w:t>AGENT SOCIETY</w:t>
      </w:r>
    </w:p>
    <w:p>
      <w:pPr>
        <w:pStyle w:val="Heading1"/>
        <w:keepNext/>
      </w:pPr>
      <w:r>
        <w:t>Work with specialist agents</w:t>
      </w:r>
    </w:p>
    <w:p>
      <w:pPr>
        <w:spacing w:after="200"/>
      </w:pPr>
      <w:r>
        <w:t>The Agent society uses a minimal code-style workspace. It exposes what the agent is doing, which project entities it touches, which evidence it cites, and where a human must decide.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51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Area</w:t>
            </w:r>
          </w:p>
        </w:tc>
        <w:tc>
          <w:tcPr>
            <w:tcW w:type="dxa" w:w="309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it shows</w:t>
            </w:r>
          </w:p>
        </w:tc>
        <w:tc>
          <w:tcPr>
            <w:tcW w:type="dxa" w:w="367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How to use it</w:t>
            </w:r>
          </w:p>
        </w:tc>
        <w:tc>
          <w:tcPr>
            <w:tcW w:type="dxa" w:w="172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Boundary</w:t>
            </w:r>
          </w:p>
        </w:tc>
      </w:tr>
      <w:tr>
        <w:trPr>
          <w:cantSplit/>
        </w:trPr>
        <w:tc>
          <w:tcPr>
            <w:tcW w:type="dxa" w:w="1512"/>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Agent roster</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5"/>
              </w:rPr>
              <w:t>Name, role, level, state, and specialty</w:t>
            </w:r>
          </w:p>
        </w:tc>
        <w:tc>
          <w:tcPr>
            <w:tcW w:type="dxa" w:w="3672"/>
            <w:vAlign w:val="center"/>
            <w:tcMar>
              <w:top w:w="90" w:type="dxa"/>
              <w:start w:w="100" w:type="dxa"/>
              <w:bottom w:w="90" w:type="dxa"/>
              <w:end w:w="100" w:type="dxa"/>
            </w:tcMar>
          </w:tcPr>
          <w:p>
            <w:pPr>
              <w:spacing w:after="0" w:line="259" w:lineRule="auto"/>
            </w:pPr>
            <w:r>
              <w:rPr>
                <w:rFonts w:ascii="Arial" w:hAnsi="Arial" w:eastAsia="Arial"/>
                <w:color w:val="111815"/>
                <w:sz w:val="15"/>
              </w:rPr>
              <w:t>Select a domain profile such as OR scientist, procurement strategist, mineral scout, or evidence auditor</w:t>
            </w:r>
          </w:p>
        </w:tc>
        <w:tc>
          <w:tcPr>
            <w:tcW w:type="dxa" w:w="1728"/>
            <w:vAlign w:val="center"/>
            <w:tcMar>
              <w:top w:w="90" w:type="dxa"/>
              <w:start w:w="100" w:type="dxa"/>
              <w:bottom w:w="90" w:type="dxa"/>
              <w:end w:w="100" w:type="dxa"/>
            </w:tcMar>
          </w:tcPr>
          <w:p>
            <w:pPr>
              <w:spacing w:after="0" w:line="259" w:lineRule="auto"/>
            </w:pPr>
            <w:r>
              <w:rPr>
                <w:rFonts w:ascii="Arial" w:hAnsi="Arial" w:eastAsia="Arial"/>
                <w:color w:val="111815"/>
                <w:sz w:val="15"/>
              </w:rPr>
              <w:t>Profiles are synthetic</w:t>
            </w:r>
          </w:p>
        </w:tc>
      </w:tr>
      <w:tr>
        <w:trPr>
          <w:cantSplit/>
        </w:trPr>
        <w:tc>
          <w:tcPr>
            <w:tcW w:type="dxa" w:w="151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Conversation</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User prompt, agent response, and system status</w:t>
            </w:r>
          </w:p>
        </w:tc>
        <w:tc>
          <w:tcPr>
            <w:tcW w:type="dxa" w:w="36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Ask a project-specific question. The deterministic response binds to the current project and selected specialist</w:t>
            </w:r>
          </w:p>
        </w:tc>
        <w:tc>
          <w:tcPr>
            <w:tcW w:type="dxa" w:w="17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No model API is called</w:t>
            </w:r>
          </w:p>
        </w:tc>
      </w:tr>
      <w:tr>
        <w:trPr>
          <w:cantSplit/>
        </w:trPr>
        <w:tc>
          <w:tcPr>
            <w:tcW w:type="dxa" w:w="1512"/>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Tool trace</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5"/>
              </w:rPr>
              <w:t>Step, agent, activity, detail, and graph node</w:t>
            </w:r>
          </w:p>
        </w:tc>
        <w:tc>
          <w:tcPr>
            <w:tcW w:type="dxa" w:w="3672"/>
            <w:vAlign w:val="center"/>
            <w:tcMar>
              <w:top w:w="90" w:type="dxa"/>
              <w:start w:w="100" w:type="dxa"/>
              <w:bottom w:w="90" w:type="dxa"/>
              <w:end w:w="100" w:type="dxa"/>
            </w:tcMar>
          </w:tcPr>
          <w:p>
            <w:pPr>
              <w:spacing w:after="0" w:line="259" w:lineRule="auto"/>
            </w:pPr>
            <w:r>
              <w:rPr>
                <w:rFonts w:ascii="Arial" w:hAnsi="Arial" w:eastAsia="Arial"/>
                <w:color w:val="111815"/>
                <w:sz w:val="15"/>
              </w:rPr>
              <w:t>Start, advance, replay, cancel, and inspect the visible execution trace</w:t>
            </w:r>
          </w:p>
        </w:tc>
        <w:tc>
          <w:tcPr>
            <w:tcW w:type="dxa" w:w="1728"/>
            <w:vAlign w:val="center"/>
            <w:tcMar>
              <w:top w:w="90" w:type="dxa"/>
              <w:start w:w="100" w:type="dxa"/>
              <w:bottom w:w="90" w:type="dxa"/>
              <w:end w:w="100" w:type="dxa"/>
            </w:tcMar>
          </w:tcPr>
          <w:p>
            <w:pPr>
              <w:spacing w:after="0" w:line="259" w:lineRule="auto"/>
            </w:pPr>
            <w:r>
              <w:rPr>
                <w:rFonts w:ascii="Arial" w:hAnsi="Arial" w:eastAsia="Arial"/>
                <w:color w:val="111815"/>
                <w:sz w:val="15"/>
              </w:rPr>
              <w:t>This is not hidden chain of thought</w:t>
            </w:r>
          </w:p>
        </w:tc>
      </w:tr>
      <w:tr>
        <w:trPr>
          <w:cantSplit/>
        </w:trPr>
        <w:tc>
          <w:tcPr>
            <w:tcW w:type="dxa" w:w="151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Visual steering</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Instructions such as pin evidence, require human review, preserve service floor, or exclude an entity</w:t>
            </w:r>
          </w:p>
        </w:tc>
        <w:tc>
          <w:tcPr>
            <w:tcW w:type="dxa" w:w="36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Click a steering control and confirm the instruction appears in the trace context</w:t>
            </w:r>
          </w:p>
        </w:tc>
        <w:tc>
          <w:tcPr>
            <w:tcW w:type="dxa" w:w="17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No policy or model weights change</w:t>
            </w:r>
          </w:p>
        </w:tc>
      </w:tr>
      <w:tr>
        <w:trPr>
          <w:cantSplit/>
        </w:trPr>
        <w:tc>
          <w:tcPr>
            <w:tcW w:type="dxa" w:w="1512"/>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Experience profile</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5"/>
              </w:rPr>
              <w:t>Level, years, evaluated runs, approved runs, calibration, override rate, failure rate, skills, MCPs, tools, and authority</w:t>
            </w:r>
          </w:p>
        </w:tc>
        <w:tc>
          <w:tcPr>
            <w:tcW w:type="dxa" w:w="3672"/>
            <w:vAlign w:val="center"/>
            <w:tcMar>
              <w:top w:w="90" w:type="dxa"/>
              <w:start w:w="100" w:type="dxa"/>
              <w:bottom w:w="90" w:type="dxa"/>
              <w:end w:w="100" w:type="dxa"/>
            </w:tcMar>
          </w:tcPr>
          <w:p>
            <w:pPr>
              <w:spacing w:after="0" w:line="259" w:lineRule="auto"/>
            </w:pPr>
            <w:r>
              <w:rPr>
                <w:rFonts w:ascii="Arial" w:hAnsi="Arial" w:eastAsia="Arial"/>
                <w:color w:val="111815"/>
                <w:sz w:val="15"/>
              </w:rPr>
              <w:t>Open the profile fixture receipt before relying on a capability</w:t>
            </w:r>
          </w:p>
        </w:tc>
        <w:tc>
          <w:tcPr>
            <w:tcW w:type="dxa" w:w="1728"/>
            <w:vAlign w:val="center"/>
            <w:tcMar>
              <w:top w:w="90" w:type="dxa"/>
              <w:start w:w="100" w:type="dxa"/>
              <w:bottom w:w="90" w:type="dxa"/>
              <w:end w:w="100" w:type="dxa"/>
            </w:tcMar>
          </w:tcPr>
          <w:p>
            <w:pPr>
              <w:spacing w:after="0" w:line="259" w:lineRule="auto"/>
            </w:pPr>
            <w:r>
              <w:rPr>
                <w:rFonts w:ascii="Arial" w:hAnsi="Arial" w:eastAsia="Arial"/>
                <w:color w:val="111815"/>
                <w:sz w:val="15"/>
              </w:rPr>
              <w:t>Statistics are demo fixtures</w:t>
            </w:r>
          </w:p>
        </w:tc>
      </w:tr>
      <w:tr>
        <w:trPr>
          <w:cantSplit/>
        </w:trPr>
        <w:tc>
          <w:tcPr>
            <w:tcW w:type="dxa" w:w="151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Agent builder</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Name, specialty, selected Skills file name, requested MCPs, and draft tools</w:t>
            </w:r>
          </w:p>
        </w:tc>
        <w:tc>
          <w:tcPr>
            <w:tcW w:type="dxa" w:w="36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Create and save a draft manifest</w:t>
            </w:r>
          </w:p>
        </w:tc>
        <w:tc>
          <w:tcPr>
            <w:tcW w:type="dxa" w:w="17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No Skills file is parsed, MCP connected, tool created, evaluation run, or agent deployed</w:t>
            </w:r>
          </w:p>
        </w:tc>
      </w:tr>
    </w:tbl>
    <w:p>
      <w:pPr>
        <w:spacing w:after="0" w:before="0"/>
      </w:pPr>
    </w:p>
    <w:p>
      <w:pPr>
        <w:pStyle w:val="Heading2"/>
        <w:keepNext/>
      </w:pPr>
      <w:r>
        <w:t>Safe agent run sequence</w:t>
      </w:r>
    </w:p>
    <w:p>
      <w:pPr>
        <w:spacing w:after="80"/>
        <w:ind w:left="346" w:hanging="346"/>
      </w:pPr>
      <w:r>
        <w:rPr>
          <w:rFonts w:ascii="Arial" w:hAnsi="Arial" w:eastAsia="Arial"/>
          <w:b/>
        </w:rPr>
        <w:t xml:space="preserve">1.  </w:t>
      </w:r>
      <w:r>
        <w:t>Select the specialist whose authority matches the task.</w:t>
      </w:r>
    </w:p>
    <w:p>
      <w:pPr>
        <w:spacing w:after="80"/>
        <w:ind w:left="346" w:hanging="346"/>
      </w:pPr>
      <w:r>
        <w:rPr>
          <w:rFonts w:ascii="Arial" w:hAnsi="Arial" w:eastAsia="Arial"/>
          <w:b/>
        </w:rPr>
        <w:t xml:space="preserve">2.  </w:t>
      </w:r>
      <w:r>
        <w:t>Enter the decision question and submit it.</w:t>
      </w:r>
    </w:p>
    <w:p>
      <w:pPr>
        <w:spacing w:after="80"/>
        <w:ind w:left="346" w:hanging="346"/>
      </w:pPr>
      <w:r>
        <w:rPr>
          <w:rFonts w:ascii="Arial" w:hAnsi="Arial" w:eastAsia="Arial"/>
          <w:b/>
        </w:rPr>
        <w:t xml:space="preserve">3.  </w:t>
      </w:r>
      <w:r>
        <w:t>Start the trace and inspect each evidence, graph, variable, formulation, and calculation step.</w:t>
      </w:r>
    </w:p>
    <w:p>
      <w:pPr>
        <w:spacing w:after="80"/>
        <w:ind w:left="346" w:hanging="346"/>
      </w:pPr>
      <w:r>
        <w:rPr>
          <w:rFonts w:ascii="Arial" w:hAnsi="Arial" w:eastAsia="Arial"/>
          <w:b/>
        </w:rPr>
        <w:t xml:space="preserve">4.  </w:t>
      </w:r>
      <w:r>
        <w:t>Add a steering instruction when the project needs an extra constraint or review requirement.</w:t>
      </w:r>
    </w:p>
    <w:p>
      <w:pPr>
        <w:spacing w:after="80"/>
        <w:ind w:left="346" w:hanging="346"/>
      </w:pPr>
      <w:r>
        <w:rPr>
          <w:rFonts w:ascii="Arial" w:hAnsi="Arial" w:eastAsia="Arial"/>
          <w:b/>
        </w:rPr>
        <w:t xml:space="preserve">5.  </w:t>
      </w:r>
      <w:r>
        <w:t>Open evidence receipts for the values that matter to the recommendation.</w:t>
      </w:r>
    </w:p>
    <w:p>
      <w:pPr>
        <w:spacing w:after="80"/>
        <w:ind w:left="346" w:hanging="346"/>
      </w:pPr>
      <w:r>
        <w:rPr>
          <w:rFonts w:ascii="Arial" w:hAnsi="Arial" w:eastAsia="Arial"/>
          <w:b/>
        </w:rPr>
        <w:t xml:space="preserve">6.  </w:t>
      </w:r>
      <w:r>
        <w:t>Complete only at the human gate. Use Cancel when the context is wrong or incomplete.</w:t>
      </w:r>
    </w:p>
    <w:p>
      <w:r>
        <w:br w:type="page"/>
      </w:r>
    </w:p>
    <w:p>
      <w:pPr>
        <w:spacing w:after="100"/>
      </w:pPr>
      <w:r>
        <w:rPr>
          <w:rFonts w:ascii="Arial" w:hAnsi="Arial" w:eastAsia="Arial"/>
          <w:b/>
          <w:color w:val="FF6B35"/>
          <w:sz w:val="17"/>
        </w:rPr>
        <w:t>EVIDENCE</w:t>
      </w:r>
    </w:p>
    <w:p>
      <w:pPr>
        <w:pStyle w:val="Heading1"/>
        <w:keepNext/>
      </w:pPr>
      <w:r>
        <w:t>Trace every displayed claim</w:t>
      </w:r>
    </w:p>
    <w:p>
      <w:pPr>
        <w:spacing w:after="200"/>
      </w:pPr>
      <w:r>
        <w:t>A number is trustworthy only when the reader can see what it means, where it came from, how it was produced, and whether it is safe to use for the current decision.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Receipt field</w:t>
            </w:r>
          </w:p>
        </w:tc>
        <w:tc>
          <w:tcPr>
            <w:tcW w:type="dxa" w:w="32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Question answered</w:t>
            </w:r>
          </w:p>
        </w:tc>
        <w:tc>
          <w:tcPr>
            <w:tcW w:type="dxa" w:w="46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Current concept behavior</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Claim and displayed value</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What exactly is being asserted</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Matches the clicked KPI, studio metric, graph fact, decision value, or action result</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State</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Was it observed, corroborated, inferred, simulated, or proposed</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Synthetic project receipts use Simulated unless a more precise fixture state applies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Source kind and locator</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upload, SQL table, API, web page, calculation, or fixture supports it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Uses a bounded fixture locator and says when no source is connected</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As of and valid for</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When was it true and for which period or decision window</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Uses a fixed concept timestamp and validity statement</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Version and fingerprint</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data or model version produced it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Uses a fixture version and evidence fingerprint, not a cryptographic content hash claim</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Formula and inputs</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How was the value derived</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Lists the illustrative calculation and referenced input IDs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Variable ID and grain</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taxonomy variable and business grain does it represent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Uses project-specific L2 L1 L0 packs and a stated synthetic grain</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Confidence and quality</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How certain is it and what quality warnings apply</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Fails closed for unknown or foreign-project references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Trace agent and reviewer</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worker produced it and who reviewed it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Names a synthetic playback agent and shows Unreviewed when no review exists</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Access</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Who may see the evidence</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Shows the client and project boundary; backend enforcement remains future work</w:t>
            </w:r>
          </w:p>
        </w:tc>
      </w:tr>
    </w:tbl>
    <w:p>
      <w:pPr>
        <w:spacing w:after="0" w:before="0"/>
      </w:pPr>
    </w:p>
    <w:p>
      <w:pPr>
        <w:pStyle w:val="Heading2"/>
        <w:keepNext/>
      </w:pPr>
      <w:r>
        <w:t>Where receipts appear</w:t>
      </w:r>
    </w:p>
    <w:p>
      <w:pPr>
        <w:pStyle w:val="ListBullet"/>
      </w:pPr>
      <w:r>
        <w:t>Project home KPIs and app studio metrics open the full evidence drawer.</w:t>
      </w:r>
    </w:p>
    <w:p>
      <w:pPr>
        <w:pStyle w:val="ListBullet"/>
      </w:pPr>
      <w:r>
        <w:t>Decision case evidence, scenarios, outcomes, and app operating-model facts create a browser-session action receipt.</w:t>
      </w:r>
    </w:p>
    <w:p>
      <w:pPr>
        <w:pStyle w:val="ListBullet"/>
      </w:pPr>
      <w:r>
        <w:t>Knowledge graph nodes and trace steps point back to project receipts.</w:t>
      </w:r>
    </w:p>
    <w:p>
      <w:pPr>
        <w:pStyle w:val="ListBullet"/>
      </w:pPr>
      <w:r>
        <w:t>Network selections retain the selected entity and frame when opening a compatible app.</w:t>
      </w:r>
    </w:p>
    <w:p>
      <w:pPr>
        <w:pStyle w:val="ListBullet"/>
      </w:pPr>
      <w:r>
        <w:t>Unknown evidence IDs show Not found with zero confidence. A receipt from a different project is not reused.</w:t>
      </w:r>
    </w:p>
    <w:p>
      <w:r>
        <w:br w:type="page"/>
      </w:r>
    </w:p>
    <w:p>
      <w:pPr>
        <w:spacing w:after="100"/>
      </w:pPr>
      <w:r>
        <w:rPr>
          <w:rFonts w:ascii="Arial" w:hAnsi="Arial" w:eastAsia="Arial"/>
          <w:b/>
          <w:color w:val="FF6B35"/>
          <w:sz w:val="17"/>
        </w:rPr>
        <w:t>PROJECT DATA</w:t>
      </w:r>
    </w:p>
    <w:p>
      <w:pPr>
        <w:pStyle w:val="Heading1"/>
        <w:keepNext/>
      </w:pPr>
      <w:r>
        <w:t>Stage project-owned data</w:t>
      </w:r>
    </w:p>
    <w:p>
      <w:pPr>
        <w:spacing w:after="200"/>
      </w:pPr>
      <w:r>
        <w:t>Project data is inside the project workspace. The concept demonstrates the user journey without reading or persisting the selected file.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26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Stage</w:t>
            </w:r>
          </w:p>
        </w:tc>
        <w:tc>
          <w:tcPr>
            <w:tcW w:type="dxa" w:w="244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User action</w:t>
            </w:r>
          </w:p>
        </w:tc>
        <w:tc>
          <w:tcPr>
            <w:tcW w:type="dxa" w:w="38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Displayed result</w:t>
            </w:r>
          </w:p>
        </w:tc>
        <w:tc>
          <w:tcPr>
            <w:tcW w:type="dxa" w:w="247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Production requirement</w:t>
            </w:r>
          </w:p>
        </w:tc>
      </w:tr>
      <w:tr>
        <w:trPr>
          <w:cantSplit/>
        </w:trPr>
        <w:tc>
          <w:tcPr>
            <w:tcW w:type="dxa" w:w="126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Select</w:t>
            </w:r>
          </w:p>
        </w:tc>
        <w:tc>
          <w:tcPr>
            <w:tcW w:type="dxa" w:w="2448"/>
            <w:vAlign w:val="center"/>
            <w:tcMar>
              <w:top w:w="90" w:type="dxa"/>
              <w:start w:w="100" w:type="dxa"/>
              <w:bottom w:w="90" w:type="dxa"/>
              <w:end w:w="100" w:type="dxa"/>
            </w:tcMar>
          </w:tcPr>
          <w:p>
            <w:pPr>
              <w:spacing w:after="0" w:line="259" w:lineRule="auto"/>
            </w:pPr>
            <w:r>
              <w:rPr>
                <w:rFonts w:ascii="Arial" w:hAnsi="Arial" w:eastAsia="Arial"/>
                <w:color w:val="111815"/>
                <w:sz w:val="16"/>
              </w:rPr>
              <w:t>Choose a local file or use the provided sample</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Only the file name is captured in browser memory</w:t>
            </w:r>
          </w:p>
        </w:tc>
        <w:tc>
          <w:tcPr>
            <w:tcW w:type="dxa" w:w="2477"/>
            <w:vAlign w:val="center"/>
            <w:tcMar>
              <w:top w:w="90" w:type="dxa"/>
              <w:start w:w="100" w:type="dxa"/>
              <w:bottom w:w="90" w:type="dxa"/>
              <w:end w:w="100" w:type="dxa"/>
            </w:tcMar>
          </w:tcPr>
          <w:p>
            <w:pPr>
              <w:spacing w:after="0" w:line="259" w:lineRule="auto"/>
            </w:pPr>
            <w:r>
              <w:rPr>
                <w:rFonts w:ascii="Arial" w:hAnsi="Arial" w:eastAsia="Arial"/>
                <w:color w:val="111815"/>
                <w:sz w:val="16"/>
              </w:rPr>
              <w:t>Encrypted upload, malware scanning, type limits, tenant authorization</w:t>
            </w:r>
          </w:p>
        </w:tc>
      </w:tr>
      <w:tr>
        <w:trPr>
          <w:cantSplit/>
        </w:trPr>
        <w:tc>
          <w:tcPr>
            <w:tcW w:type="dxa" w:w="126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Staged</w:t>
            </w:r>
          </w:p>
        </w:tc>
        <w:tc>
          <w:tcPr>
            <w:tcW w:type="dxa" w:w="244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Confirm the chosen data product</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Project, classification, owner, and proposed dataset name</w:t>
            </w:r>
          </w:p>
        </w:tc>
        <w:tc>
          <w:tcPr>
            <w:tcW w:type="dxa" w:w="2477"/>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Object storage, immutable receipt, consent and retention policy</w:t>
            </w:r>
          </w:p>
        </w:tc>
      </w:tr>
      <w:tr>
        <w:trPr>
          <w:cantSplit/>
        </w:trPr>
        <w:tc>
          <w:tcPr>
            <w:tcW w:type="dxa" w:w="126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Schema preview</w:t>
            </w:r>
          </w:p>
        </w:tc>
        <w:tc>
          <w:tcPr>
            <w:tcW w:type="dxa" w:w="2448"/>
            <w:vAlign w:val="center"/>
            <w:tcMar>
              <w:top w:w="90" w:type="dxa"/>
              <w:start w:w="100" w:type="dxa"/>
              <w:bottom w:w="90" w:type="dxa"/>
              <w:end w:w="100" w:type="dxa"/>
            </w:tcMar>
          </w:tcPr>
          <w:p>
            <w:pPr>
              <w:spacing w:after="0" w:line="259" w:lineRule="auto"/>
            </w:pPr>
            <w:r>
              <w:rPr>
                <w:rFonts w:ascii="Arial" w:hAnsi="Arial" w:eastAsia="Arial"/>
                <w:color w:val="111815"/>
                <w:sz w:val="16"/>
              </w:rPr>
              <w:t>Advance the demonstration</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Illustrative columns, types, grain, and sample scale</w:t>
            </w:r>
          </w:p>
        </w:tc>
        <w:tc>
          <w:tcPr>
            <w:tcW w:type="dxa" w:w="2477"/>
            <w:vAlign w:val="center"/>
            <w:tcMar>
              <w:top w:w="90" w:type="dxa"/>
              <w:start w:w="100" w:type="dxa"/>
              <w:bottom w:w="90" w:type="dxa"/>
              <w:end w:w="100" w:type="dxa"/>
            </w:tcMar>
          </w:tcPr>
          <w:p>
            <w:pPr>
              <w:spacing w:after="0" w:line="259" w:lineRule="auto"/>
            </w:pPr>
            <w:r>
              <w:rPr>
                <w:rFonts w:ascii="Arial" w:hAnsi="Arial" w:eastAsia="Arial"/>
                <w:color w:val="111815"/>
                <w:sz w:val="16"/>
              </w:rPr>
              <w:t>Actual parser, schema registry, PII detection, quarantine</w:t>
            </w:r>
          </w:p>
        </w:tc>
      </w:tr>
      <w:tr>
        <w:trPr>
          <w:cantSplit/>
        </w:trPr>
        <w:tc>
          <w:tcPr>
            <w:tcW w:type="dxa" w:w="126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Mapping draft</w:t>
            </w:r>
          </w:p>
        </w:tc>
        <w:tc>
          <w:tcPr>
            <w:tcW w:type="dxa" w:w="244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Review proposed taxonomy mappings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Synthetic L0 mappings and expected entity keys</w:t>
            </w:r>
          </w:p>
        </w:tc>
        <w:tc>
          <w:tcPr>
            <w:tcW w:type="dxa" w:w="2477"/>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Human-reviewed semantic mapping and version control</w:t>
            </w:r>
          </w:p>
        </w:tc>
      </w:tr>
      <w:tr>
        <w:trPr>
          <w:cantSplit/>
        </w:trPr>
        <w:tc>
          <w:tcPr>
            <w:tcW w:type="dxa" w:w="126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Review demo</w:t>
            </w:r>
          </w:p>
        </w:tc>
        <w:tc>
          <w:tcPr>
            <w:tcW w:type="dxa" w:w="2448"/>
            <w:vAlign w:val="center"/>
            <w:tcMar>
              <w:top w:w="90" w:type="dxa"/>
              <w:start w:w="100" w:type="dxa"/>
              <w:bottom w:w="90" w:type="dxa"/>
              <w:end w:w="100" w:type="dxa"/>
            </w:tcMar>
          </w:tcPr>
          <w:p>
            <w:pPr>
              <w:spacing w:after="0" w:line="259" w:lineRule="auto"/>
            </w:pPr>
            <w:r>
              <w:rPr>
                <w:rFonts w:ascii="Arial" w:hAnsi="Arial" w:eastAsia="Arial"/>
                <w:color w:val="111815"/>
                <w:sz w:val="16"/>
              </w:rPr>
              <w:t>Inspect validation and project boundary</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Fixture quality checks and approval gate</w:t>
            </w:r>
          </w:p>
        </w:tc>
        <w:tc>
          <w:tcPr>
            <w:tcW w:type="dxa" w:w="2477"/>
            <w:vAlign w:val="center"/>
            <w:tcMar>
              <w:top w:w="90" w:type="dxa"/>
              <w:start w:w="100" w:type="dxa"/>
              <w:bottom w:w="90" w:type="dxa"/>
              <w:end w:w="100" w:type="dxa"/>
            </w:tcMar>
          </w:tcPr>
          <w:p>
            <w:pPr>
              <w:spacing w:after="0" w:line="259" w:lineRule="auto"/>
            </w:pPr>
            <w:r>
              <w:rPr>
                <w:rFonts w:ascii="Arial" w:hAnsi="Arial" w:eastAsia="Arial"/>
                <w:color w:val="111815"/>
                <w:sz w:val="16"/>
              </w:rPr>
              <w:t>Data steward workflow, access policy, quality service</w:t>
            </w:r>
          </w:p>
        </w:tc>
      </w:tr>
      <w:tr>
        <w:trPr>
          <w:cantSplit/>
        </w:trPr>
        <w:tc>
          <w:tcPr>
            <w:tcW w:type="dxa" w:w="126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Session receipt</w:t>
            </w:r>
          </w:p>
        </w:tc>
        <w:tc>
          <w:tcPr>
            <w:tcW w:type="dxa" w:w="244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Complete the demonstration</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Browser-session dataset row and action receipt</w:t>
            </w:r>
          </w:p>
        </w:tc>
        <w:tc>
          <w:tcPr>
            <w:tcW w:type="dxa" w:w="2477"/>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Persistent lineage, catalog registration, audit event</w:t>
            </w:r>
          </w:p>
        </w:tc>
      </w:tr>
    </w:tbl>
    <w:p>
      <w:pPr>
        <w:spacing w:after="0" w:before="0"/>
      </w:pPr>
    </w:p>
    <w:p>
      <w:pPr>
        <w:pStyle w:val="Heading2"/>
        <w:keepNext/>
      </w:pPr>
      <w:r>
        <w:t>Future edge data flow</w:t>
      </w:r>
    </w:p>
    <w:p>
      <w:r>
        <w:t>The product direction supports simple operational updates from ports, cargo handlers, warehouses, factories, suppliers, vehicles, robots, and field teams. QR scans, signed custody events, sensor telemetry, robot events, carrier milestones, and manual exceptions should enter through authenticated project or client contracts. Production ingestion must validate identity, device trust, timestamp, location, signature, unit, schema, consent, and access before updating the operational graph.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4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Contributor</w:t>
            </w:r>
          </w:p>
        </w:tc>
        <w:tc>
          <w:tcPr>
            <w:tcW w:type="dxa" w:w="28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Example event</w:t>
            </w:r>
          </w:p>
        </w:tc>
        <w:tc>
          <w:tcPr>
            <w:tcW w:type="dxa" w:w="352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Secure contract</w:t>
            </w:r>
          </w:p>
        </w:tc>
        <w:tc>
          <w:tcPr>
            <w:tcW w:type="dxa" w:w="20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Project use</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Port operator</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Berth, gate, customs, seal, or dwell update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5"/>
              </w:rPr>
              <w:t>Operator identity, port role, signed timestamp, shipment key</w:t>
            </w:r>
          </w:p>
        </w:tc>
        <w:tc>
          <w:tcPr>
            <w:tcW w:type="dxa" w:w="2016"/>
            <w:vAlign w:val="center"/>
            <w:tcMar>
              <w:top w:w="90" w:type="dxa"/>
              <w:start w:w="100" w:type="dxa"/>
              <w:bottom w:w="90" w:type="dxa"/>
              <w:end w:w="100" w:type="dxa"/>
            </w:tcMar>
          </w:tcPr>
          <w:p>
            <w:pPr>
              <w:spacing w:after="0" w:line="259" w:lineRule="auto"/>
            </w:pPr>
            <w:r>
              <w:rPr>
                <w:rFonts w:ascii="Arial" w:hAnsi="Arial" w:eastAsia="Arial"/>
                <w:color w:val="111815"/>
                <w:sz w:val="15"/>
              </w:rPr>
              <w:t>LogisticsRadar and case evidence</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Cargo handler</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QR custody scan or damage exception</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GS1 identifier, device trust, chain-of-custody signature</w:t>
            </w:r>
          </w:p>
        </w:tc>
        <w:tc>
          <w:tcPr>
            <w:tcW w:type="dxa" w:w="20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QualityGenealogy and LogisticsRadar</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Supplier</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Capacity, certificate, lead time, or shipment promise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5"/>
              </w:rPr>
              <w:t>Supplier tenant, approved portal, evidence attachment, version</w:t>
            </w:r>
          </w:p>
        </w:tc>
        <w:tc>
          <w:tcPr>
            <w:tcW w:type="dxa" w:w="2016"/>
            <w:vAlign w:val="center"/>
            <w:tcMar>
              <w:top w:w="90" w:type="dxa"/>
              <w:start w:w="100" w:type="dxa"/>
              <w:bottom w:w="90" w:type="dxa"/>
              <w:end w:w="100" w:type="dxa"/>
            </w:tcMar>
          </w:tcPr>
          <w:p>
            <w:pPr>
              <w:spacing w:after="0" w:line="259" w:lineRule="auto"/>
            </w:pPr>
            <w:r>
              <w:rPr>
                <w:rFonts w:ascii="Arial" w:hAnsi="Arial" w:eastAsia="Arial"/>
                <w:color w:val="111815"/>
                <w:sz w:val="15"/>
              </w:rPr>
              <w:t>SupplierGraph and RiskRadar</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Factory or robot</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Production count, state, downtime, quality or consumption event</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Machine identity, event schema, clock quality, plant boundary</w:t>
            </w:r>
          </w:p>
        </w:tc>
        <w:tc>
          <w:tcPr>
            <w:tcW w:type="dxa" w:w="20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ManufacturingTwin and FlowLens</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Workforce lead</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Shift, skill, certification, absence, or overtime update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5"/>
              </w:rPr>
              <w:t>Role-based access, minimal personal data, regional policy</w:t>
            </w:r>
          </w:p>
        </w:tc>
        <w:tc>
          <w:tcPr>
            <w:tcW w:type="dxa" w:w="2016"/>
            <w:vAlign w:val="center"/>
            <w:tcMar>
              <w:top w:w="90" w:type="dxa"/>
              <w:start w:w="100" w:type="dxa"/>
              <w:bottom w:w="90" w:type="dxa"/>
              <w:end w:w="100" w:type="dxa"/>
            </w:tcMar>
          </w:tcPr>
          <w:p>
            <w:pPr>
              <w:spacing w:after="0" w:line="259" w:lineRule="auto"/>
            </w:pPr>
            <w:r>
              <w:rPr>
                <w:rFonts w:ascii="Arial" w:hAnsi="Arial" w:eastAsia="Arial"/>
                <w:color w:val="111815"/>
                <w:sz w:val="15"/>
              </w:rPr>
              <w:t>WorkforceStudio and Network Optimizer</w:t>
            </w:r>
          </w:p>
        </w:tc>
      </w:tr>
    </w:tbl>
    <w:p>
      <w:pPr>
        <w:spacing w:after="0" w:before="0"/>
      </w:pPr>
    </w:p>
    <w:p>
      <w:r>
        <w:br w:type="page"/>
      </w:r>
    </w:p>
    <w:p>
      <w:pPr>
        <w:spacing w:after="100"/>
      </w:pPr>
      <w:r>
        <w:rPr>
          <w:rFonts w:ascii="Arial" w:hAnsi="Arial" w:eastAsia="Arial"/>
          <w:b/>
          <w:color w:val="FF6B35"/>
          <w:sz w:val="17"/>
        </w:rPr>
        <w:t>NETWORK OPERATIONS</w:t>
      </w:r>
    </w:p>
    <w:p>
      <w:pPr>
        <w:pStyle w:val="Heading1"/>
        <w:keepNext/>
      </w:pPr>
      <w:r>
        <w:t>Use the world network radar</w:t>
      </w:r>
    </w:p>
    <w:p>
      <w:pPr>
        <w:spacing w:after="200"/>
      </w:pPr>
      <w:r>
        <w:t>The world map is a synthetic operational radar. It combines geography, routes, assets, cargo, transfers, time, scenarios, and app handoffs in one scrollable and zoomable surface.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Control</w:t>
            </w:r>
          </w:p>
        </w:tc>
        <w:tc>
          <w:tcPr>
            <w:tcW w:type="dxa" w:w="352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changes</w:t>
            </w:r>
          </w:p>
        </w:tc>
        <w:tc>
          <w:tcPr>
            <w:tcW w:type="dxa" w:w="439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to inspect</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Region presets</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Centers the world, Americas, Europe and Africa, Middle East and India, or APAC</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Ports, plants, airports, roads, rail nodes, and relevant corridors</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Pan and zoom</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Changes the viewport while preserving filters</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Dense corridors and local handoffs at higher zoom</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Time frame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Moves from historical fixture frames through Now and future scenario frames</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Position, arrival state, ETA, delay, cost, volume, and exposure changes</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Scenario</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Changes trajectory assumptions such as baseline or disruption</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Route geometry, predicted delay, committed quantity, value exposure, and service risk</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Layers</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Shows or hides ocean, air, road, rail, transfer, asset, cargo, and location records</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Use the smallest layer set that answers the question</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Hover and keyboard focus</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Shows compact identity, quantity, value, price, status, owner, origin, destination, or personnel details</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click is required for a quick check</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Pin selection</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Opens the detailed inspector and retains the canonical entity key</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Evidence, current state, related facts, and compatible app handoff</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Open in app</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Moves the retained selection into RiskRadar, Network Optimizer, FlowLens, or SupplierGraph</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The project and map context remain visible in the app command bar</w:t>
            </w:r>
          </w:p>
        </w:tc>
      </w:tr>
    </w:tbl>
    <w:p>
      <w:pPr>
        <w:spacing w:after="0" w:before="0"/>
      </w:pPr>
    </w:p>
    <w:p>
      <w:pPr>
        <w:pStyle w:val="Heading2"/>
        <w:keepNext/>
      </w:pPr>
      <w:r>
        <w:t>Map truth boundary</w:t>
      </w:r>
    </w:p>
    <w:p>
      <w:r>
        <w:t>The map uses a local Natural Earth basemap and deterministic route, asset, cargo, transfer, and location fixtures. It does not call Google 3D Tiles, Cesium ion, OpenSky, ADS-B Exchange, AIS, CCTV, traffic, satellite, seismic, or weather services. Production use requires provider terms, attribution, licensing, privacy, retention, and security review in addition to connector engineering.</w:t>
      </w:r>
    </w:p>
    <w:p>
      <w:r>
        <w:br w:type="page"/>
      </w:r>
    </w:p>
    <w:p>
      <w:pPr>
        <w:spacing w:after="100"/>
      </w:pPr>
      <w:r>
        <w:rPr>
          <w:rFonts w:ascii="Arial" w:hAnsi="Arial" w:eastAsia="Arial"/>
          <w:b/>
          <w:color w:val="FF6B35"/>
          <w:sz w:val="17"/>
        </w:rPr>
        <w:t>OPERATIONS RESEARCH</w:t>
      </w:r>
    </w:p>
    <w:p>
      <w:pPr>
        <w:pStyle w:val="Heading1"/>
        <w:keepNext/>
      </w:pPr>
      <w:r>
        <w:t>Use the optimization workbench</w:t>
      </w:r>
    </w:p>
    <w:p>
      <w:pPr>
        <w:spacing w:after="200"/>
      </w:pPr>
      <w:r>
        <w:t>Network Optimizer separates problem framing from calculation, comparison, validation, and release. The current experience runs a deterministic response calculator; it does not execute a mathematical solver or claim optimality.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Workbench area</w:t>
            </w:r>
          </w:p>
        </w:tc>
        <w:tc>
          <w:tcPr>
            <w:tcW w:type="dxa" w:w="460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Purpose</w:t>
            </w:r>
          </w:p>
        </w:tc>
        <w:tc>
          <w:tcPr>
            <w:tcW w:type="dxa" w:w="31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Evidence to retain</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Decision contract</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Define case, horizon, selected entity, decision pattern, objective hierarchy, and assumptions</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Project, case, user, timestamp, variable and constraint version</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Variable registry</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Bind canonical L0 variables to units, grain, domain, source contract, and decision role</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Variable IDs, bounds, type, unit, missingness, transformations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Constraint library</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Classify hard, binding, advisory, and violated constraints</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Expression, tolerance, origin, owner, relaxation authority</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Method library</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Choose a primary and fallback stack from the 30 handbook methods</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Selection rationale, applicability, validation and fallback</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Scenario lab</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Represent joint uncertainty, probability, path, severity, and recourse</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Scenario set ID, probabilities, input versions, policy changes</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Candidate comparison</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Compare cost, service, cash, risk, carbon, and constraint state</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Candidate ID, feasibility, dominance, assumptions, rejected reasons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Reproducibility manifest</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Bind the output to the exact context used</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Run ID, model and data version, input fingerprint, method stack, scenario set</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Release gate</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Require evidence and named human authority before operational handoff</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Approval, scope, expiry, fallback, write-back receipt</w:t>
            </w:r>
          </w:p>
        </w:tc>
      </w:tr>
    </w:tbl>
    <w:p>
      <w:pPr>
        <w:spacing w:after="0" w:before="0"/>
      </w:pPr>
    </w:p>
    <w:p>
      <w:pPr>
        <w:pStyle w:val="Heading2"/>
        <w:keepNext/>
      </w:pPr>
      <w:r>
        <w:t>Method families in the handbook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165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Codes</w:t>
            </w:r>
          </w:p>
        </w:tc>
        <w:tc>
          <w:tcPr>
            <w:tcW w:type="dxa" w:w="31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Family</w:t>
            </w:r>
          </w:p>
        </w:tc>
        <w:tc>
          <w:tcPr>
            <w:tcW w:type="dxa" w:w="50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Representative use</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M-01 to M-04</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Forecasting and uncertainty</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Time series, causal drivers, ensembles, Bayesian updates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M-05 to M-08</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Mathematical programming</w:t>
            </w:r>
          </w:p>
        </w:tc>
        <w:tc>
          <w:tcPr>
            <w:tcW w:type="dxa" w:w="504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Linear, mixed integer, nonlinear, goal and multiobjective models</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M-09 to M-12</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Network and routing</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Flows, vehicle routing, multimodal paths, location allocation</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M-13 to M-17</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Inventory scheduling and queues</w:t>
            </w:r>
          </w:p>
        </w:tc>
        <w:tc>
          <w:tcPr>
            <w:tcW w:type="dxa" w:w="504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Safety stock, allocation, sequencing, simulation and queueing</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M-18 to M-21</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Risk probability and decision analysis</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Reliability, stochastic risk, Monte Carlo, decision trees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M-22 to M-25</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Robustness decomposition and search</w:t>
            </w:r>
          </w:p>
        </w:tc>
        <w:tc>
          <w:tcPr>
            <w:tcW w:type="dxa" w:w="504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Robust optimization, decomposition, heuristics, metaheuristics</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M-26 to M-30</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Learning control and validation</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Reinforcement learning, control, digital twins, causal validation, human factors</w:t>
            </w:r>
          </w:p>
        </w:tc>
      </w:tr>
    </w:tbl>
    <w:p>
      <w:pPr>
        <w:spacing w:after="0" w:before="0"/>
      </w:pPr>
    </w:p>
    <w:p>
      <w:r>
        <w:br w:type="page"/>
      </w:r>
    </w:p>
    <w:p>
      <w:pPr>
        <w:spacing w:after="100"/>
      </w:pPr>
      <w:r>
        <w:rPr>
          <w:rFonts w:ascii="Arial" w:hAnsi="Arial" w:eastAsia="Arial"/>
          <w:b/>
          <w:color w:val="FF6B35"/>
          <w:sz w:val="17"/>
        </w:rPr>
        <w:t>END TO END STORY</w:t>
      </w:r>
    </w:p>
    <w:p>
      <w:pPr>
        <w:pStyle w:val="Heading1"/>
        <w:keepNext/>
      </w:pPr>
      <w:r>
        <w:t>Walk Anode Shield from evidence to review</w:t>
      </w:r>
    </w:p>
    <w:p>
      <w:pPr>
        <w:spacing w:after="200"/>
      </w:pPr>
      <w:r>
        <w:t>Use this storyline when demonstrating how one project combines apps, agents, OR methods, evidence, and human expertise.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64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Step</w:t>
            </w:r>
          </w:p>
        </w:tc>
        <w:tc>
          <w:tcPr>
            <w:tcW w:type="dxa" w:w="28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Action</w:t>
            </w:r>
          </w:p>
        </w:tc>
        <w:tc>
          <w:tcPr>
            <w:tcW w:type="dxa" w:w="446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Narration</w:t>
            </w:r>
          </w:p>
        </w:tc>
        <w:tc>
          <w:tcPr>
            <w:tcW w:type="dxa" w:w="187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Visible proof</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1</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Select Mobility and EV, Apex Mobility, Anode Shield</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project owns the decision memory and access context.</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P-001 header and project metrics</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2</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Value at risk</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value is a simulated P90 contribution exposure, not a finance-system fact.</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EV-001-01 receipt</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3</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Open Knowledge graph</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trace connects project evidence to supplier, material, route, plant, product, and decision nodes.</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Selectable nodes and trace steps</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4</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Agent society and select the OR specialist</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visible trace is a product execution log, not private reasoning.</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Agent profile and prompt-bound trace</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5</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Steer with Preserve service floor and Require human review</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instruction becomes part of the current trace context.</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Steering chips and trace state</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6</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Network Optimizer</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app carries the same project and case context into formulation and scenario comparison.</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Project binding strip and command bar</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7</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Inspect method, data, KPI, and change receipts</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Every app-level count and target says whether it is a catalog item, target contract, or fixture result.</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Session receipt ledger</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8</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Decisions and create expert review draft</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package binds D0 to D3 choices, L2 L1 L0 variables, methods, and evidence.</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Review draft receipt</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9</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Open Case Workspace and scenario receipts</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case compares alternatives without calling a solver or labeling a result optimal.</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Scenario receipt and claim boundary</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10</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Action Room</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release either changes the browser-session case stage or explains the failed prerequisite.</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Saved or Blocked receipt</w:t>
            </w:r>
          </w:p>
        </w:tc>
      </w:tr>
    </w:tbl>
    <w:p>
      <w:pPr>
        <w:spacing w:after="0" w:before="0"/>
      </w:pPr>
    </w:p>
    <w:p>
      <w:pPr>
        <w:pStyle w:val="Heading2"/>
        <w:keepNext/>
      </w:pPr>
      <w:r>
        <w:t>A second storyline</w:t>
      </w:r>
    </w:p>
    <w:p>
      <w:r>
        <w:t>For ports and cargo, select P-008 Global Berth to Door. Open LogisticsRadar, choose route and transfer layers, focus a port region, pin a cargo or handoff, inspect quantity and value, then open the retained context in Network Optimizer or RiskRadar. Return to Project data to demonstrate how a future QR custody event or port update would be staged under the client and project boundary.</w:t>
      </w:r>
    </w:p>
    <w:p>
      <w:r>
        <w:br w:type="page"/>
      </w:r>
    </w:p>
    <w:p>
      <w:pPr>
        <w:spacing w:after="100"/>
      </w:pPr>
      <w:r>
        <w:rPr>
          <w:rFonts w:ascii="Arial" w:hAnsi="Arial" w:eastAsia="Arial"/>
          <w:b/>
          <w:color w:val="FF6B35"/>
          <w:sz w:val="17"/>
        </w:rPr>
        <w:t>DEEP LINKS AND CONTROLS</w:t>
      </w:r>
    </w:p>
    <w:p>
      <w:pPr>
        <w:pStyle w:val="Heading1"/>
        <w:keepNext/>
      </w:pPr>
      <w:r>
        <w:t>Open a precise workspace</w:t>
      </w:r>
    </w:p>
    <w:p>
      <w:pPr>
        <w:spacing w:after="200"/>
      </w:pPr>
      <w:r>
        <w:t>Maya records navigation context in the query string so a concept walkthrough can start at a specific project tab or app studio.</w:t>
      </w:r>
    </w:p>
    <w:p>
      <w:pPr>
        <w:spacing w:after="40"/>
        <w:ind w:left="360"/>
      </w:pPr>
      <w:r>
        <w:rPr>
          <w:rFonts w:ascii="Consolas" w:hAnsi="Consolas" w:eastAsia="Consolas"/>
          <w:color w:val="111815"/>
          <w:sz w:val="16"/>
        </w:rPr>
        <w:t>?view=company&amp;scope=company&amp;sector=mobility-ev&amp;client=apex-mobility&amp;project=anode-shield&amp;projectTab=overview</w:t>
      </w:r>
    </w:p>
    <w:p>
      <w:pPr>
        <w:spacing w:after="40"/>
        <w:ind w:left="360"/>
      </w:pPr>
      <w:r>
        <w:rPr>
          <w:rFonts w:ascii="Consolas" w:hAnsi="Consolas" w:eastAsia="Consolas"/>
          <w:color w:val="111815"/>
          <w:sz w:val="16"/>
        </w:rPr>
        <w:t>?view=company&amp;scope=company&amp;sector=critical-minerals&amp;client=terrametals&amp;project=lithium-cell-provenance&amp;projectTab=graph</w:t>
      </w:r>
    </w:p>
    <w:p>
      <w:pPr>
        <w:spacing w:after="40"/>
        <w:ind w:left="360"/>
      </w:pPr>
      <w:r>
        <w:rPr>
          <w:rFonts w:ascii="Consolas" w:hAnsi="Consolas" w:eastAsia="Consolas"/>
          <w:color w:val="111815"/>
          <w:sz w:val="16"/>
        </w:rPr>
        <w:t>?view=company&amp;scope=company&amp;sector=ports-maritime&amp;client=blueharbor&amp;project=berth-to-door&amp;projectTab=apps&amp;projectApp=logistics</w:t>
      </w:r>
    </w:p>
    <w:p>
      <w:pPr>
        <w:spacing w:after="40"/>
        <w:ind w:left="360"/>
      </w:pPr>
      <w:r>
        <w:rPr>
          <w:rFonts w:ascii="Consolas" w:hAnsi="Consolas" w:eastAsia="Consolas"/>
          <w:color w:val="111815"/>
          <w:sz w:val="16"/>
        </w:rPr>
        <w:t>?view=optimizer&amp;scope=company&amp;sector=energy-grid&amp;client=solara-grid&amp;project=copper-rare-earth</w:t>
      </w:r>
    </w:p>
    <w:p>
      <w:pPr>
        <w:pStyle w:val="Heading2"/>
        <w:keepNext/>
      </w:pPr>
      <w:r>
        <w:t>Keyboard and shell controls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83"/>
        <w:gridCol w:w="5083"/>
      </w:tblGrid>
      <w:tr>
        <w:trPr>
          <w:tblHeader w:val="true"/>
          <w:cantSplit/>
        </w:trPr>
        <w:tc>
          <w:tcPr>
            <w:tcW w:type="dxa" w:w="295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Control</w:t>
            </w:r>
          </w:p>
        </w:tc>
        <w:tc>
          <w:tcPr>
            <w:tcW w:type="dxa" w:w="691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Behavior</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Command K or Control K</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Open global search</w:t>
            </w:r>
          </w:p>
        </w:tc>
      </w:tr>
      <w:tr>
        <w:trPr>
          <w:cantSplit/>
        </w:trPr>
        <w:tc>
          <w:tcPr>
            <w:tcW w:type="dxa" w:w="295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Escape</w:t>
            </w:r>
          </w:p>
        </w:tc>
        <w:tc>
          <w:tcPr>
            <w:tcW w:type="dxa" w:w="691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Close search, notifications, profile menu, or mobile navigation</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Browser Back and Forward</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Restore URL-addressed views, scope, case, project, tab, and app studio</w:t>
            </w:r>
          </w:p>
        </w:tc>
      </w:tr>
      <w:tr>
        <w:trPr>
          <w:cantSplit/>
        </w:trPr>
        <w:tc>
          <w:tcPr>
            <w:tcW w:type="dxa" w:w="295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Tab and Shift Tab</w:t>
            </w:r>
          </w:p>
        </w:tc>
        <w:tc>
          <w:tcPr>
            <w:tcW w:type="dxa" w:w="691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Move through buttons, inputs, selectors, map entities, and dialog controls</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Enter or Space</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Activate the focused button or map entity</w:t>
            </w:r>
          </w:p>
        </w:tc>
      </w:tr>
      <w:tr>
        <w:trPr>
          <w:cantSplit/>
        </w:trPr>
        <w:tc>
          <w:tcPr>
            <w:tcW w:type="dxa" w:w="295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Arrow keys on map</w:t>
            </w:r>
          </w:p>
        </w:tc>
        <w:tc>
          <w:tcPr>
            <w:tcW w:type="dxa" w:w="691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Pan the focused radar viewport</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Plus and Minus on map</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Zoom the focused radar viewport</w:t>
            </w:r>
          </w:p>
        </w:tc>
      </w:tr>
    </w:tbl>
    <w:p>
      <w:pPr>
        <w:spacing w:after="0" w:before="0"/>
      </w:pPr>
    </w:p>
    <w:p>
      <w:pPr>
        <w:pStyle w:val="Heading2"/>
        <w:keepNext/>
      </w:pPr>
      <w:r>
        <w:t>If a control appears not to work</w:t>
      </w:r>
    </w:p>
    <w:p>
      <w:pPr>
        <w:pStyle w:val="ListBullet"/>
      </w:pPr>
      <w:r>
        <w:t>Look for an inspector, drawer, action receipt, toast, route change, selected state, changed count, or updated chart rather than assuming the control opens a new page.</w:t>
      </w:r>
    </w:p>
    <w:p>
      <w:pPr>
        <w:pStyle w:val="ListBullet"/>
      </w:pPr>
      <w:r>
        <w:t>Read the gate explanation. Disabled or blocked actions require an earlier stage, evidence threshold, feasible candidate, or named approval.</w:t>
      </w:r>
    </w:p>
    <w:p>
      <w:pPr>
        <w:pStyle w:val="ListBullet"/>
      </w:pPr>
      <w:r>
        <w:t>Clear a narrow search or filter when no records are visible.</w:t>
      </w:r>
    </w:p>
    <w:p>
      <w:pPr>
        <w:pStyle w:val="ListBullet"/>
      </w:pPr>
      <w:r>
        <w:t>Reset the graph or map when the current layer combination hides the selected entity.</w:t>
      </w:r>
    </w:p>
    <w:p>
      <w:pPr>
        <w:pStyle w:val="ListBullet"/>
      </w:pPr>
      <w:r>
        <w:t>Refresh only when you want to reset browser-session state. There is no backend persistence in this concept.</w:t>
      </w:r>
    </w:p>
    <w:p>
      <w:r>
        <w:br w:type="page"/>
      </w:r>
    </w:p>
    <w:p>
      <w:pPr>
        <w:spacing w:after="100"/>
      </w:pPr>
      <w:r>
        <w:rPr>
          <w:rFonts w:ascii="Arial" w:hAnsi="Arial" w:eastAsia="Arial"/>
          <w:b/>
          <w:color w:val="FF6B35"/>
          <w:sz w:val="17"/>
        </w:rPr>
        <w:t>PRODUCTION ROADMAP</w:t>
      </w:r>
    </w:p>
    <w:p>
      <w:pPr>
        <w:pStyle w:val="Heading1"/>
        <w:keepNext/>
      </w:pPr>
      <w:r>
        <w:t>Concept boundaries and production requirements</w:t>
      </w:r>
    </w:p>
    <w:p>
      <w:pPr>
        <w:spacing w:after="200"/>
      </w:pPr>
      <w:r>
        <w:t>The experience demonstrates product architecture and interaction contracts. The following capabilities need production services and verification before operational use.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2131"/>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Capability</w:t>
            </w:r>
          </w:p>
        </w:tc>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Concept status</w:t>
            </w:r>
          </w:p>
        </w:tc>
        <w:tc>
          <w:tcPr>
            <w:tcW w:type="dxa" w:w="56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Production requirement</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Tenant and project security</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UI context only</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Identity provider, server authorization, row and object security, key management, audit</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Project persistence</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Browser memory</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Project registry, database, object storage, event history, retention and deletion</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Data ingestion</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File-name and adapter walkthrough</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Upload service, connectors, malware scan, schema and quality services, data contracts</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Knowledge graph</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Deterministic fixture</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Entity resolution, temporal graph, provenance store, access-aware queries, versioning</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Agents</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Prompt-bound synthetic playback</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Model runtime, evaluated Skills, approved MCP connections, tool sandbox, observability, policy</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Optimization</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Deterministic response calculator</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Solver adapters, status, incumbent, bounds, gap, infeasibility diagnosis, validation, fallback</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Learning</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Session receipts only</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Outcome capture, offline evaluation, safety constraints, drift monitoring, controlled promotion and rollback</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World data</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Local basemap and synthetic records</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Licensed tiles and feeds, attribution, provider compliance, freshness, privacy and resilience</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Operational write-back</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Not connected</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Human authority, dual control where required, idempotency, transaction receipt, reconciliation and rollback</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Accessibility and QA</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Automated code checks and static validation</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Browser, screen reader, keyboard, responsive, performance, security and user acceptance testing</w:t>
            </w:r>
          </w:p>
        </w:tc>
      </w:tr>
    </w:tbl>
    <w:p>
      <w:pPr>
        <w:spacing w:after="0" w:before="0"/>
      </w:pPr>
    </w:p>
    <w:p>
      <w:pPr>
        <w:pStyle w:val="Heading2"/>
        <w:keepNext/>
      </w:pPr>
      <w:r>
        <w:t>Recommended production sequence</w:t>
      </w:r>
    </w:p>
    <w:p>
      <w:pPr>
        <w:spacing w:after="80"/>
        <w:ind w:left="346" w:hanging="346"/>
      </w:pPr>
      <w:r>
        <w:rPr>
          <w:rFonts w:ascii="Arial" w:hAnsi="Arial" w:eastAsia="Arial"/>
          <w:b/>
        </w:rPr>
        <w:t xml:space="preserve">1.  </w:t>
      </w:r>
      <w:r>
        <w:t>Implement identity, tenant and project authorization, persistence, and audit before connecting client data.</w:t>
      </w:r>
    </w:p>
    <w:p>
      <w:pPr>
        <w:spacing w:after="80"/>
        <w:ind w:left="346" w:hanging="346"/>
      </w:pPr>
      <w:r>
        <w:rPr>
          <w:rFonts w:ascii="Arial" w:hAnsi="Arial" w:eastAsia="Arial"/>
          <w:b/>
        </w:rPr>
        <w:t xml:space="preserve">2.  </w:t>
      </w:r>
      <w:r>
        <w:t>Build the evidence receipt and lineage service as a shared platform contract.</w:t>
      </w:r>
    </w:p>
    <w:p>
      <w:pPr>
        <w:spacing w:after="80"/>
        <w:ind w:left="346" w:hanging="346"/>
      </w:pPr>
      <w:r>
        <w:rPr>
          <w:rFonts w:ascii="Arial" w:hAnsi="Arial" w:eastAsia="Arial"/>
          <w:b/>
        </w:rPr>
        <w:t xml:space="preserve">3.  </w:t>
      </w:r>
      <w:r>
        <w:t>Connect one client project and two apps end to end, with read-only adapters and human review.</w:t>
      </w:r>
    </w:p>
    <w:p>
      <w:pPr>
        <w:spacing w:after="80"/>
        <w:ind w:left="346" w:hanging="346"/>
      </w:pPr>
      <w:r>
        <w:rPr>
          <w:rFonts w:ascii="Arial" w:hAnsi="Arial" w:eastAsia="Arial"/>
          <w:b/>
        </w:rPr>
        <w:t xml:space="preserve">4.  </w:t>
      </w:r>
      <w:r>
        <w:t>Add a solver service with reproducibility and claim-integrity controls before using optimization outputs operationally.</w:t>
      </w:r>
    </w:p>
    <w:p>
      <w:pPr>
        <w:spacing w:after="80"/>
        <w:ind w:left="346" w:hanging="346"/>
      </w:pPr>
      <w:r>
        <w:rPr>
          <w:rFonts w:ascii="Arial" w:hAnsi="Arial" w:eastAsia="Arial"/>
          <w:b/>
        </w:rPr>
        <w:t xml:space="preserve">5.  </w:t>
      </w:r>
      <w:r>
        <w:t>Add geospatial and edge data providers only after licensing, attribution, privacy, and retention decisions are approved.</w:t>
      </w:r>
    </w:p>
    <w:p>
      <w:pPr>
        <w:spacing w:after="80"/>
        <w:ind w:left="346" w:hanging="346"/>
      </w:pPr>
      <w:r>
        <w:rPr>
          <w:rFonts w:ascii="Arial" w:hAnsi="Arial" w:eastAsia="Arial"/>
          <w:b/>
        </w:rPr>
        <w:t xml:space="preserve">6.  </w:t>
      </w:r>
      <w:r>
        <w:t>Introduce outcome learning in shadow mode, then promote agents or policies only through evaluated and reversible releases.</w:t>
      </w:r>
    </w:p>
    <w:p>
      <w:r>
        <w:br w:type="page"/>
      </w:r>
    </w:p>
    <w:p>
      <w:pPr>
        <w:spacing w:after="100"/>
      </w:pPr>
      <w:r>
        <w:rPr>
          <w:rFonts w:ascii="Arial" w:hAnsi="Arial" w:eastAsia="Arial"/>
          <w:b/>
          <w:color w:val="FF6B35"/>
          <w:sz w:val="17"/>
        </w:rPr>
        <w:t>TECHNICAL REFERENCES</w:t>
      </w:r>
    </w:p>
    <w:p>
      <w:pPr>
        <w:pStyle w:val="Heading1"/>
        <w:keepNext/>
      </w:pPr>
      <w:r>
        <w:t>Standards and provider documentation</w:t>
      </w:r>
    </w:p>
    <w:p>
      <w:pPr>
        <w:spacing w:after="200"/>
      </w:pPr>
      <w:r>
        <w:t>These references informed the future-state contracts described in the experience. The current concept does not connect the services.</w:t>
      </w:r>
    </w:p>
    <w:p>
      <w:pPr>
        <w:ind w:left="230" w:hanging="230"/>
      </w:pPr>
      <w:r>
        <w:rPr>
          <w:rFonts w:ascii="Consolas" w:hAnsi="Consolas" w:eastAsia="Consolas"/>
          <w:b/>
          <w:color w:val="5E6862"/>
          <w:sz w:val="17"/>
        </w:rPr>
        <w:t xml:space="preserve">1. </w:t>
      </w:r>
      <w:hyperlink r:id="rId10">
        <w:r>
          <w:rPr>
            <w:color w:val="2F5B50"/>
            <w:u w:val="single"/>
          </w:rPr>
          <w:t>Google Maps Platform 3D Tiles</w:t>
        </w:r>
      </w:hyperlink>
      <w:r>
        <w:rPr>
          <w:rFonts w:ascii="Consolas" w:hAnsi="Consolas" w:eastAsia="Consolas"/>
          <w:color w:val="5E6862"/>
          <w:sz w:val="14"/>
        </w:rPr>
        <w:t xml:space="preserve">  https://developers.google.com/maps/documentation/tile/3d-tiles</w:t>
      </w:r>
    </w:p>
    <w:p>
      <w:pPr>
        <w:ind w:left="230" w:hanging="230"/>
      </w:pPr>
      <w:r>
        <w:rPr>
          <w:rFonts w:ascii="Consolas" w:hAnsi="Consolas" w:eastAsia="Consolas"/>
          <w:b/>
          <w:color w:val="5E6862"/>
          <w:sz w:val="17"/>
        </w:rPr>
        <w:t xml:space="preserve">2. </w:t>
      </w:r>
      <w:hyperlink r:id="rId11">
        <w:r>
          <w:rPr>
            <w:color w:val="2F5B50"/>
            <w:u w:val="single"/>
          </w:rPr>
          <w:t>Google Maps Platform policies</w:t>
        </w:r>
      </w:hyperlink>
      <w:r>
        <w:rPr>
          <w:rFonts w:ascii="Consolas" w:hAnsi="Consolas" w:eastAsia="Consolas"/>
          <w:color w:val="5E6862"/>
          <w:sz w:val="14"/>
        </w:rPr>
        <w:t xml:space="preserve">  https://developers.google.com/maps/documentation/tile/policies</w:t>
      </w:r>
    </w:p>
    <w:p>
      <w:pPr>
        <w:ind w:left="230" w:hanging="230"/>
      </w:pPr>
      <w:r>
        <w:rPr>
          <w:rFonts w:ascii="Consolas" w:hAnsi="Consolas" w:eastAsia="Consolas"/>
          <w:b/>
          <w:color w:val="5E6862"/>
          <w:sz w:val="17"/>
        </w:rPr>
        <w:t xml:space="preserve">3. </w:t>
      </w:r>
      <w:hyperlink r:id="rId12">
        <w:r>
          <w:rPr>
            <w:color w:val="2F5B50"/>
            <w:u w:val="single"/>
          </w:rPr>
          <w:t>Cesium learning center</w:t>
        </w:r>
      </w:hyperlink>
      <w:r>
        <w:rPr>
          <w:rFonts w:ascii="Consolas" w:hAnsi="Consolas" w:eastAsia="Consolas"/>
          <w:color w:val="5E6862"/>
          <w:sz w:val="14"/>
        </w:rPr>
        <w:t xml:space="preserve">  https://cesium.com/learn</w:t>
      </w:r>
    </w:p>
    <w:p>
      <w:pPr>
        <w:ind w:left="230" w:hanging="230"/>
      </w:pPr>
      <w:r>
        <w:rPr>
          <w:rFonts w:ascii="Consolas" w:hAnsi="Consolas" w:eastAsia="Consolas"/>
          <w:b/>
          <w:color w:val="5E6862"/>
          <w:sz w:val="17"/>
        </w:rPr>
        <w:t xml:space="preserve">4. </w:t>
      </w:r>
      <w:hyperlink r:id="rId13">
        <w:r>
          <w:rPr>
            <w:color w:val="2F5B50"/>
            <w:u w:val="single"/>
          </w:rPr>
          <w:t>OGC 3D Tiles standard</w:t>
        </w:r>
      </w:hyperlink>
      <w:r>
        <w:rPr>
          <w:rFonts w:ascii="Consolas" w:hAnsi="Consolas" w:eastAsia="Consolas"/>
          <w:color w:val="5E6862"/>
          <w:sz w:val="14"/>
        </w:rPr>
        <w:t xml:space="preserve">  https://www.ogc.org/standards/3dtiles/</w:t>
      </w:r>
    </w:p>
    <w:p>
      <w:pPr>
        <w:ind w:left="230" w:hanging="230"/>
      </w:pPr>
      <w:r>
        <w:rPr>
          <w:rFonts w:ascii="Consolas" w:hAnsi="Consolas" w:eastAsia="Consolas"/>
          <w:b/>
          <w:color w:val="5E6862"/>
          <w:sz w:val="17"/>
        </w:rPr>
        <w:t xml:space="preserve">5. </w:t>
      </w:r>
      <w:hyperlink r:id="rId14">
        <w:r>
          <w:rPr>
            <w:color w:val="2F5B50"/>
            <w:u w:val="single"/>
          </w:rPr>
          <w:t>OpenSky Network terms of use</w:t>
        </w:r>
      </w:hyperlink>
      <w:r>
        <w:rPr>
          <w:rFonts w:ascii="Consolas" w:hAnsi="Consolas" w:eastAsia="Consolas"/>
          <w:color w:val="5E6862"/>
          <w:sz w:val="14"/>
        </w:rPr>
        <w:t xml:space="preserve">  https://opensky-network.org/about/terms-of-use</w:t>
      </w:r>
    </w:p>
    <w:p>
      <w:pPr>
        <w:ind w:left="230" w:hanging="230"/>
      </w:pPr>
      <w:r>
        <w:rPr>
          <w:rFonts w:ascii="Consolas" w:hAnsi="Consolas" w:eastAsia="Consolas"/>
          <w:b/>
          <w:color w:val="5E6862"/>
          <w:sz w:val="17"/>
        </w:rPr>
        <w:t xml:space="preserve">6. </w:t>
      </w:r>
      <w:hyperlink r:id="rId15">
        <w:r>
          <w:rPr>
            <w:color w:val="2F5B50"/>
            <w:u w:val="single"/>
          </w:rPr>
          <w:t>OpenSky Network FAQ</w:t>
        </w:r>
      </w:hyperlink>
      <w:r>
        <w:rPr>
          <w:rFonts w:ascii="Consolas" w:hAnsi="Consolas" w:eastAsia="Consolas"/>
          <w:color w:val="5E6862"/>
          <w:sz w:val="14"/>
        </w:rPr>
        <w:t xml:space="preserve">  https://opensky-network.org/about/faq</w:t>
      </w:r>
    </w:p>
    <w:p>
      <w:pPr>
        <w:ind w:left="230" w:hanging="230"/>
      </w:pPr>
      <w:r>
        <w:rPr>
          <w:rFonts w:ascii="Consolas" w:hAnsi="Consolas" w:eastAsia="Consolas"/>
          <w:b/>
          <w:color w:val="5E6862"/>
          <w:sz w:val="17"/>
        </w:rPr>
        <w:t xml:space="preserve">7. </w:t>
      </w:r>
      <w:hyperlink r:id="rId16">
        <w:r>
          <w:rPr>
            <w:color w:val="2F5B50"/>
            <w:u w:val="single"/>
          </w:rPr>
          <w:t>ADS-B Exchange data use policy</w:t>
        </w:r>
      </w:hyperlink>
      <w:r>
        <w:rPr>
          <w:rFonts w:ascii="Consolas" w:hAnsi="Consolas" w:eastAsia="Consolas"/>
          <w:color w:val="5E6862"/>
          <w:sz w:val="14"/>
        </w:rPr>
        <w:t xml:space="preserve">  https://support.adsbexchange.com/hc/en-us/articles/37364077703693-What-is-ADS-B-Exchange-s-data-use-policy</w:t>
      </w:r>
    </w:p>
    <w:p>
      <w:pPr>
        <w:ind w:left="230" w:hanging="230"/>
      </w:pPr>
      <w:r>
        <w:rPr>
          <w:rFonts w:ascii="Consolas" w:hAnsi="Consolas" w:eastAsia="Consolas"/>
          <w:b/>
          <w:color w:val="5E6862"/>
          <w:sz w:val="17"/>
        </w:rPr>
        <w:t xml:space="preserve">8. </w:t>
      </w:r>
      <w:hyperlink r:id="rId17">
        <w:r>
          <w:rPr>
            <w:color w:val="2F5B50"/>
            <w:u w:val="single"/>
          </w:rPr>
          <w:t>Model Context Protocol specification</w:t>
        </w:r>
      </w:hyperlink>
      <w:r>
        <w:rPr>
          <w:rFonts w:ascii="Consolas" w:hAnsi="Consolas" w:eastAsia="Consolas"/>
          <w:color w:val="5E6862"/>
          <w:sz w:val="14"/>
        </w:rPr>
        <w:t xml:space="preserve">  https://modelcontextprotocol.io/specification/2025-11-25/server</w:t>
      </w:r>
    </w:p>
    <w:p>
      <w:pPr>
        <w:ind w:left="230" w:hanging="230"/>
      </w:pPr>
      <w:r>
        <w:rPr>
          <w:rFonts w:ascii="Consolas" w:hAnsi="Consolas" w:eastAsia="Consolas"/>
          <w:b/>
          <w:color w:val="5E6862"/>
          <w:sz w:val="17"/>
        </w:rPr>
        <w:t xml:space="preserve">9. </w:t>
      </w:r>
      <w:hyperlink r:id="rId18">
        <w:r>
          <w:rPr>
            <w:color w:val="2F5B50"/>
            <w:u w:val="single"/>
          </w:rPr>
          <w:t>Claude Code operating model</w:t>
        </w:r>
      </w:hyperlink>
      <w:r>
        <w:rPr>
          <w:rFonts w:ascii="Consolas" w:hAnsi="Consolas" w:eastAsia="Consolas"/>
          <w:color w:val="5E6862"/>
          <w:sz w:val="14"/>
        </w:rPr>
        <w:t xml:space="preserve">  https://code.claude.com/docs/en/how-claude-code-works</w:t>
      </w:r>
    </w:p>
    <w:p>
      <w:pPr>
        <w:ind w:left="230" w:hanging="230"/>
      </w:pPr>
      <w:r>
        <w:rPr>
          <w:rFonts w:ascii="Consolas" w:hAnsi="Consolas" w:eastAsia="Consolas"/>
          <w:b/>
          <w:color w:val="5E6862"/>
          <w:sz w:val="17"/>
        </w:rPr>
        <w:t xml:space="preserve">10. </w:t>
      </w:r>
      <w:hyperlink r:id="rId19">
        <w:r>
          <w:rPr>
            <w:color w:val="2F5B50"/>
            <w:u w:val="single"/>
          </w:rPr>
          <w:t>W3C PROV-O</w:t>
        </w:r>
      </w:hyperlink>
      <w:r>
        <w:rPr>
          <w:rFonts w:ascii="Consolas" w:hAnsi="Consolas" w:eastAsia="Consolas"/>
          <w:color w:val="5E6862"/>
          <w:sz w:val="14"/>
        </w:rPr>
        <w:t xml:space="preserve">  https://www.w3.org/TR/prov-o/</w:t>
      </w:r>
    </w:p>
    <w:p>
      <w:pPr>
        <w:ind w:left="230" w:hanging="230"/>
      </w:pPr>
      <w:r>
        <w:rPr>
          <w:rFonts w:ascii="Consolas" w:hAnsi="Consolas" w:eastAsia="Consolas"/>
          <w:b/>
          <w:color w:val="5E6862"/>
          <w:sz w:val="17"/>
        </w:rPr>
        <w:t xml:space="preserve">11. </w:t>
      </w:r>
      <w:hyperlink r:id="rId20">
        <w:r>
          <w:rPr>
            <w:color w:val="2F5B50"/>
            <w:u w:val="single"/>
          </w:rPr>
          <w:t>OpenLineage object model</w:t>
        </w:r>
      </w:hyperlink>
      <w:r>
        <w:rPr>
          <w:rFonts w:ascii="Consolas" w:hAnsi="Consolas" w:eastAsia="Consolas"/>
          <w:color w:val="5E6862"/>
          <w:sz w:val="14"/>
        </w:rPr>
        <w:t xml:space="preserve">  https://openlineage.io/docs/spec/object-model/</w:t>
      </w:r>
    </w:p>
    <w:p>
      <w:pPr>
        <w:ind w:left="230" w:hanging="230"/>
      </w:pPr>
      <w:r>
        <w:rPr>
          <w:rFonts w:ascii="Consolas" w:hAnsi="Consolas" w:eastAsia="Consolas"/>
          <w:b/>
          <w:color w:val="5E6862"/>
          <w:sz w:val="17"/>
        </w:rPr>
        <w:t xml:space="preserve">12. </w:t>
      </w:r>
      <w:hyperlink r:id="rId21">
        <w:r>
          <w:rPr>
            <w:color w:val="2F5B50"/>
            <w:u w:val="single"/>
          </w:rPr>
          <w:t>OpenTelemetry traces</w:t>
        </w:r>
      </w:hyperlink>
      <w:r>
        <w:rPr>
          <w:rFonts w:ascii="Consolas" w:hAnsi="Consolas" w:eastAsia="Consolas"/>
          <w:color w:val="5E6862"/>
          <w:sz w:val="14"/>
        </w:rPr>
        <w:t xml:space="preserve">  https://opentelemetry.io/docs/concepts/signals/traces/</w:t>
      </w:r>
    </w:p>
    <w:p>
      <w:pPr>
        <w:ind w:left="230" w:hanging="230"/>
      </w:pPr>
      <w:r>
        <w:rPr>
          <w:rFonts w:ascii="Consolas" w:hAnsi="Consolas" w:eastAsia="Consolas"/>
          <w:b/>
          <w:color w:val="5E6862"/>
          <w:sz w:val="17"/>
        </w:rPr>
        <w:t xml:space="preserve">13. </w:t>
      </w:r>
      <w:hyperlink r:id="rId22">
        <w:r>
          <w:rPr>
            <w:color w:val="2F5B50"/>
            <w:u w:val="single"/>
          </w:rPr>
          <w:t>NIST AI Risk Management Framework core</w:t>
        </w:r>
      </w:hyperlink>
      <w:r>
        <w:rPr>
          <w:rFonts w:ascii="Consolas" w:hAnsi="Consolas" w:eastAsia="Consolas"/>
          <w:color w:val="5E6862"/>
          <w:sz w:val="14"/>
        </w:rPr>
        <w:t xml:space="preserve">  https://airc.nist.gov/airmf-resources/airmf/5-sec-core/</w:t>
      </w:r>
    </w:p>
    <w:p>
      <w:pPr>
        <w:ind w:left="230" w:hanging="230"/>
      </w:pPr>
      <w:r>
        <w:rPr>
          <w:rFonts w:ascii="Consolas" w:hAnsi="Consolas" w:eastAsia="Consolas"/>
          <w:b/>
          <w:color w:val="5E6862"/>
          <w:sz w:val="17"/>
        </w:rPr>
        <w:t xml:space="preserve">14. </w:t>
      </w:r>
      <w:hyperlink r:id="rId23">
        <w:r>
          <w:rPr>
            <w:color w:val="2F5B50"/>
            <w:u w:val="single"/>
          </w:rPr>
          <w:t>Google OR-Tools CP-SAT</w:t>
        </w:r>
      </w:hyperlink>
      <w:r>
        <w:rPr>
          <w:rFonts w:ascii="Consolas" w:hAnsi="Consolas" w:eastAsia="Consolas"/>
          <w:color w:val="5E6862"/>
          <w:sz w:val="14"/>
        </w:rPr>
        <w:t xml:space="preserve">  https://developers.google.com/optimization/cp/cp_solver</w:t>
      </w:r>
    </w:p>
    <w:p>
      <w:pPr>
        <w:ind w:left="230" w:hanging="230"/>
      </w:pPr>
      <w:r>
        <w:rPr>
          <w:rFonts w:ascii="Consolas" w:hAnsi="Consolas" w:eastAsia="Consolas"/>
          <w:b/>
          <w:color w:val="5E6862"/>
          <w:sz w:val="17"/>
        </w:rPr>
        <w:t xml:space="preserve">15. </w:t>
      </w:r>
      <w:hyperlink r:id="rId24">
        <w:r>
          <w:rPr>
            <w:color w:val="2F5B50"/>
            <w:u w:val="single"/>
          </w:rPr>
          <w:t>USGS Mineral Commodity Summaries 2026</w:t>
        </w:r>
      </w:hyperlink>
      <w:r>
        <w:rPr>
          <w:rFonts w:ascii="Consolas" w:hAnsi="Consolas" w:eastAsia="Consolas"/>
          <w:color w:val="5E6862"/>
          <w:sz w:val="14"/>
        </w:rPr>
        <w:t xml:space="preserve">  https://pubs.usgs.gov/publication/mcs2026</w:t>
      </w:r>
    </w:p>
    <w:p>
      <w:pPr>
        <w:pStyle w:val="Heading2"/>
        <w:keepNext/>
      </w:pPr>
      <w:r>
        <w:t>Final demonstration reminder</w:t>
      </w:r>
    </w:p>
    <w:p>
      <w:r>
        <w:t>Use the concept to demonstrate the intended operating model: one project context, distinct specialist apps, visible agent activity, human expertise, canonical variables, explicit OR methods, and traceable claims. When a screen shows a fixture, target contract, missing connector, or blocked gate, preserve that label. It is part of the trust model.</w:t>
      </w:r>
    </w:p>
    <w:sectPr w:rsidR="00FC693F" w:rsidRPr="0006063C" w:rsidSect="00034616">
      <w:footerReference w:type="default" r:id="rId9"/>
      <w:pgSz w:w="12240" w:h="15840"/>
      <w:pgMar w:top="979" w:right="1037" w:bottom="893"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Arial" w:hAnsi="Arial" w:eastAsia="Arial"/>
        <w:color w:val="5E6862"/>
        <w:sz w:val="16"/>
      </w:rPr>
      <w:t xml:space="preserve">Maya concept experience  |  Synthetic data  |  Page </w:t>
    </w:r>
    <w:r>
      <w:rPr>
        <w:rFonts w:ascii="Arial" w:hAnsi="Arial" w:eastAsia="Arial"/>
        <w:color w:val="5E6862"/>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color w:val="11181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google.com/maps/documentation/tile/3d-tiles" TargetMode="External"/><Relationship Id="rId11" Type="http://schemas.openxmlformats.org/officeDocument/2006/relationships/hyperlink" Target="https://developers.google.com/maps/documentation/tile/policies" TargetMode="External"/><Relationship Id="rId12" Type="http://schemas.openxmlformats.org/officeDocument/2006/relationships/hyperlink" Target="https://cesium.com/learn" TargetMode="External"/><Relationship Id="rId13" Type="http://schemas.openxmlformats.org/officeDocument/2006/relationships/hyperlink" Target="https://www.ogc.org/standards/3dtiles/" TargetMode="External"/><Relationship Id="rId14" Type="http://schemas.openxmlformats.org/officeDocument/2006/relationships/hyperlink" Target="https://opensky-network.org/about/terms-of-use" TargetMode="External"/><Relationship Id="rId15" Type="http://schemas.openxmlformats.org/officeDocument/2006/relationships/hyperlink" Target="https://opensky-network.org/about/faq" TargetMode="External"/><Relationship Id="rId16" Type="http://schemas.openxmlformats.org/officeDocument/2006/relationships/hyperlink" Target="https://support.adsbexchange.com/hc/en-us/articles/37364077703693-What-is-ADS-B-Exchange-s-data-use-policy" TargetMode="External"/><Relationship Id="rId17" Type="http://schemas.openxmlformats.org/officeDocument/2006/relationships/hyperlink" Target="https://modelcontextprotocol.io/specification/2025-11-25/server" TargetMode="External"/><Relationship Id="rId18" Type="http://schemas.openxmlformats.org/officeDocument/2006/relationships/hyperlink" Target="https://code.claude.com/docs/en/how-claude-code-works" TargetMode="External"/><Relationship Id="rId19" Type="http://schemas.openxmlformats.org/officeDocument/2006/relationships/hyperlink" Target="https://www.w3.org/TR/prov-o/" TargetMode="External"/><Relationship Id="rId20" Type="http://schemas.openxmlformats.org/officeDocument/2006/relationships/hyperlink" Target="https://openlineage.io/docs/spec/object-model/" TargetMode="External"/><Relationship Id="rId21" Type="http://schemas.openxmlformats.org/officeDocument/2006/relationships/hyperlink" Target="https://opentelemetry.io/docs/concepts/signals/traces/" TargetMode="External"/><Relationship Id="rId22" Type="http://schemas.openxmlformats.org/officeDocument/2006/relationships/hyperlink" Target="https://airc.nist.gov/airmf-resources/airmf/5-sec-core/" TargetMode="External"/><Relationship Id="rId23" Type="http://schemas.openxmlformats.org/officeDocument/2006/relationships/hyperlink" Target="https://developers.google.com/optimization/cp/cp_solver" TargetMode="External"/><Relationship Id="rId24" Type="http://schemas.openxmlformats.org/officeDocument/2006/relationships/hyperlink" Target="https://pubs.usgs.gov/publication/mc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Concept Experience Navigation Guide</dc:title>
  <dc:subject>How to navigate the Maya supply chain decision platform concept</dc:subject>
  <dc:creator>Kearney</dc:creator>
  <cp:keywords>Maya, supply chain, navigation, projects, operations research, evidence, agents</cp:keywords>
  <dc:description>generated by python-docx</dc:description>
  <cp:lastModifiedBy/>
  <cp:revision>1</cp:revision>
  <dcterms:created xsi:type="dcterms:W3CDTF">2013-12-23T23:15:00Z</dcterms:created>
  <dcterms:modified xsi:type="dcterms:W3CDTF">2013-12-23T23:15:00Z</dcterms:modified>
  <cp:category/>
</cp:coreProperties>
</file>