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keepNext/>
        <w:spacing w:after="320"/>
        <w:jc w:val="center"/>
      </w:pPr>
      <w:r>
        <w:rPr>
          <w:rFonts w:ascii="Calibri" w:hAnsi="Calibri"/>
          <w:b/>
          <w:color w:val="69736D"/>
          <w:sz w:val="17"/>
        </w:rPr>
        <w:t>CONCEPT EXPERIENCE / OPERATOR FIELD GUIDE</w:t>
      </w:r>
    </w:p>
    <w:p>
      <w:pPr>
        <w:spacing w:after="200"/>
        <w:jc w:val="center"/>
      </w:pPr>
      <w:r>
        <w:rPr>
          <w:rFonts w:ascii="Calibri" w:hAnsi="Calibri"/>
          <w:b/>
          <w:color w:val="111815"/>
          <w:sz w:val="60"/>
        </w:rPr>
        <w:t>Maya Navigation Guide</w:t>
      </w:r>
    </w:p>
    <w:p>
      <w:pPr>
        <w:spacing w:after="440"/>
        <w:jc w:val="center"/>
      </w:pPr>
      <w:r>
        <w:rPr>
          <w:rFonts w:ascii="Calibri" w:hAnsi="Calibri"/>
          <w:color w:val="69736D"/>
          <w:sz w:val="30"/>
        </w:rPr>
        <w:t>Supply Chain Resilience OS concept clickflow</w:t>
      </w:r>
    </w:p>
    <w:p>
      <w:pPr>
        <w:spacing w:after="1240"/>
        <w:jc w:val="center"/>
      </w:pPr>
      <w:r>
        <w:rPr>
          <w:rFonts w:ascii="Calibri" w:hAnsi="Calibri"/>
          <w:b/>
          <w:color w:val="111815"/>
          <w:sz w:val="18"/>
        </w:rPr>
        <w:t>GLOBAL  &gt;  REGION  &gt;  COMPANY  &gt;  DECISION  &gt;  ACTION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7D8"/>
            <w:tcBorders>
              <w:start w:val="single" w:sz="24" w:color="D7FF3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11815"/>
                <w:sz w:val="18"/>
              </w:rPr>
              <w:t xml:space="preserve">PURPOSE  </w:t>
            </w:r>
            <w:r>
              <w:rPr>
                <w:rFonts w:ascii="Calibri" w:hAnsi="Calibri"/>
                <w:color w:val="111815"/>
                <w:sz w:val="20"/>
              </w:rPr>
              <w:t>Use this guide to demonstrate how one signal becomes an explainable, approved, executed, and measured supply-chain decision.</w:t>
            </w:r>
          </w:p>
        </w:tc>
      </w:tr>
    </w:tbl>
    <w:p>
      <w:pPr>
        <w:spacing w:after="0"/>
      </w:pPr>
    </w:p>
    <w:p>
      <w:pPr>
        <w:spacing w:before="600"/>
        <w:jc w:val="center"/>
      </w:pPr>
      <w:r>
        <w:t>Version 1.1  |  Synthetic concept data  |  September 2026</w:t>
      </w:r>
    </w:p>
    <w:p>
      <w:r>
        <w:br w:type="page"/>
      </w:r>
    </w:p>
    <w:p>
      <w:pPr>
        <w:keepNext/>
        <w:spacing w:after="100"/>
        <w:jc w:val="left"/>
      </w:pPr>
      <w:r>
        <w:rPr>
          <w:rFonts w:ascii="Calibri" w:hAnsi="Calibri"/>
          <w:b/>
          <w:color w:val="69736D"/>
          <w:sz w:val="17"/>
        </w:rPr>
        <w:t>01 / START HERE</w:t>
      </w:r>
    </w:p>
    <w:p>
      <w:pPr>
        <w:pStyle w:val="Heading1"/>
      </w:pPr>
      <w:r>
        <w:t>Understand the Maya operating model</w:t>
      </w:r>
    </w:p>
    <w:p>
      <w:r>
        <w:rPr>
          <w:rFonts w:ascii="Calibri" w:hAnsi="Calibri"/>
          <w:color w:val="111815"/>
        </w:rPr>
        <w:t>Maya is organized around one continuous decision thread. Every scope dashboard and application reads the same synthetic network context; each governed case carries its own entities, variables, methods, evidence, scenario options, owners, and outcome contract.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7D8"/>
            <w:tcBorders>
              <w:start w:val="single" w:sz="24" w:color="D7FF3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11815"/>
                <w:sz w:val="18"/>
              </w:rPr>
              <w:t xml:space="preserve">RECOMMENDED STARTING POINT  </w:t>
            </w:r>
            <w:r>
              <w:rPr>
                <w:rFonts w:ascii="Calibri" w:hAnsi="Calibri"/>
                <w:color w:val="111815"/>
                <w:sz w:val="20"/>
              </w:rPr>
              <w:t>Open the Company platform for Apex Mobility, then follow CASE-1042 from the dashboard into the Decision Inbox, Case Workspace, Network Optimizer, and Action Room.</w:t>
            </w:r>
          </w:p>
        </w:tc>
      </w:tr>
    </w:tbl>
    <w:p>
      <w:pPr>
        <w:spacing w:after="0"/>
      </w:pPr>
    </w:p>
    <w:p>
      <w:pPr>
        <w:pStyle w:val="Heading2"/>
      </w:pPr>
      <w:r>
        <w:t>The clickflow at a glance</w:t>
      </w:r>
    </w:p>
    <w:p>
      <w:pPr>
        <w:pStyle w:val="ListNumber"/>
        <w:spacing w:after="100" w:line="300" w:lineRule="auto"/>
        <w:ind w:left="540" w:hanging="271"/>
      </w:pPr>
      <w:r>
        <w:rPr>
          <w:rFonts w:ascii="Calibri" w:hAnsi="Calibri"/>
          <w:b/>
          <w:color w:val="111815"/>
        </w:rPr>
        <w:t xml:space="preserve">Choose a scope. </w:t>
      </w:r>
      <w:r>
        <w:rPr>
          <w:rFonts w:ascii="Calibri" w:hAnsi="Calibri"/>
          <w:color w:val="111815"/>
        </w:rPr>
        <w:t>Select Global network, APAC region, or Apex Mobility from the left rail or Active Context selector.</w:t>
      </w:r>
    </w:p>
    <w:p>
      <w:pPr>
        <w:pStyle w:val="ListNumber"/>
        <w:spacing w:after="100" w:line="300" w:lineRule="auto"/>
        <w:ind w:left="540" w:hanging="271"/>
      </w:pPr>
      <w:r>
        <w:rPr>
          <w:rFonts w:ascii="Calibri" w:hAnsi="Calibri"/>
          <w:b/>
          <w:color w:val="111815"/>
        </w:rPr>
        <w:t xml:space="preserve">See decisions in motion. </w:t>
      </w:r>
      <w:r>
        <w:rPr>
          <w:rFonts w:ascii="Calibri" w:hAnsi="Calibri"/>
          <w:color w:val="111815"/>
        </w:rPr>
        <w:t>Use the scope dashboard to understand value, service, supplier, movement, and cash exposure.</w:t>
      </w:r>
    </w:p>
    <w:p>
      <w:pPr>
        <w:pStyle w:val="ListNumber"/>
        <w:spacing w:after="100" w:line="300" w:lineRule="auto"/>
        <w:ind w:left="540" w:hanging="271"/>
      </w:pPr>
      <w:r>
        <w:rPr>
          <w:rFonts w:ascii="Calibri" w:hAnsi="Calibri"/>
          <w:b/>
          <w:color w:val="111815"/>
        </w:rPr>
        <w:t xml:space="preserve">Prioritize a case. </w:t>
      </w:r>
      <w:r>
        <w:rPr>
          <w:rFonts w:ascii="Calibri" w:hAnsi="Calibri"/>
          <w:color w:val="111815"/>
        </w:rPr>
        <w:t>Open Decision Inbox and filter by severity, approval, execution, measurement, owner, or entity.</w:t>
      </w:r>
    </w:p>
    <w:p>
      <w:pPr>
        <w:pStyle w:val="ListNumber"/>
        <w:spacing w:after="100" w:line="300" w:lineRule="auto"/>
        <w:ind w:left="540" w:hanging="271"/>
      </w:pPr>
      <w:r>
        <w:rPr>
          <w:rFonts w:ascii="Calibri" w:hAnsi="Calibri"/>
          <w:b/>
          <w:color w:val="111815"/>
        </w:rPr>
        <w:t xml:space="preserve">Build decision confidence. </w:t>
      </w:r>
      <w:r>
        <w:rPr>
          <w:rFonts w:ascii="Calibri" w:hAnsi="Calibri"/>
          <w:color w:val="111815"/>
        </w:rPr>
        <w:t>Use Case Workspace to compare the five application outputs, scenarios, evidence, and OR methods.</w:t>
      </w:r>
    </w:p>
    <w:p>
      <w:pPr>
        <w:pStyle w:val="ListNumber"/>
        <w:spacing w:after="100" w:line="300" w:lineRule="auto"/>
        <w:ind w:left="540" w:hanging="271"/>
      </w:pPr>
      <w:r>
        <w:rPr>
          <w:rFonts w:ascii="Calibri" w:hAnsi="Calibri"/>
          <w:b/>
          <w:color w:val="111815"/>
        </w:rPr>
        <w:t xml:space="preserve">Approve and release. </w:t>
      </w:r>
      <w:r>
        <w:rPr>
          <w:rFonts w:ascii="Calibri" w:hAnsi="Calibri"/>
          <w:color w:val="111815"/>
        </w:rPr>
        <w:t>Use Action Room to review authority, release tasks, or return the case to simulation.</w:t>
      </w:r>
    </w:p>
    <w:p>
      <w:pPr>
        <w:pStyle w:val="ListNumber"/>
        <w:spacing w:after="100" w:line="300" w:lineRule="auto"/>
        <w:ind w:left="540" w:hanging="271"/>
      </w:pPr>
      <w:r>
        <w:rPr>
          <w:rFonts w:ascii="Calibri" w:hAnsi="Calibri"/>
          <w:b/>
          <w:color w:val="111815"/>
        </w:rPr>
        <w:t xml:space="preserve">Measure the outcome. </w:t>
      </w:r>
      <w:r>
        <w:rPr>
          <w:rFonts w:ascii="Calibri" w:hAnsi="Calibri"/>
          <w:color w:val="111815"/>
        </w:rPr>
        <w:t>Follow the case into Measure to compare baseline, target, realized value, and the measurement window.</w:t>
      </w:r>
    </w:p>
    <w:p>
      <w:pPr>
        <w:pStyle w:val="Heading2"/>
      </w:pPr>
      <w:r>
        <w:t>What is persistent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111815"/>
        </w:rPr>
        <w:t>Scope: global, region, or company context.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111815"/>
        </w:rPr>
        <w:t>Case: the selected CASE identifier remains attached while moving between applications.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111815"/>
        </w:rPr>
        <w:t>View: dashboard, inbox, case workspace, action room, application, or data workspace.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111815"/>
        </w:rPr>
        <w:t>URL: view, scope, and case parameters make the concept deterministic and demo-friendly.</w:t>
      </w:r>
    </w:p>
    <w:p>
      <w:r>
        <w:br w:type="page"/>
      </w:r>
    </w:p>
    <w:p>
      <w:pPr>
        <w:keepNext/>
        <w:spacing w:after="100"/>
        <w:jc w:val="left"/>
      </w:pPr>
      <w:r>
        <w:rPr>
          <w:rFonts w:ascii="Calibri" w:hAnsi="Calibri"/>
          <w:b/>
          <w:color w:val="69736D"/>
          <w:sz w:val="17"/>
        </w:rPr>
        <w:t>02 / PLATFORM NAVIGATION</w:t>
      </w:r>
    </w:p>
    <w:p>
      <w:pPr>
        <w:pStyle w:val="Heading1"/>
      </w:pPr>
      <w:r>
        <w:t>Navigate the shell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100"/>
        <w:gridCol w:w="3160"/>
        <w:gridCol w:w="4100"/>
      </w:tblGrid>
      <w:tr>
        <w:trPr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1181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1181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WHAT IT CONTROLS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1181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HOW TO USE IT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Left rail - Platform Level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Global, APAC, and Apex Mobility operating scopes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Start broad, then move toward the company decision twin.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shd w:fill="F8F8F4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Left rail - Decision Operations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shd w:fill="F8F8F4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Decision Inbox, Case Workspace, and Action Room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shd w:fill="F8F8F4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Move from prioritization to synthesis to controlled execution.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Left rail - Decision Apps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Five specialized analytical applications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Open an app without losing the active case context.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shd w:fill="F8F8F4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Left rail - Data Platform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shd w:fill="F8F8F4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Data Agent Hub and Knowledge Graph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shd w:fill="F8F8F4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Inspect freshness, lineage, entities, and evidence behind outputs.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Top bar - Active Context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Current scope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Change the operational lens while retaining the current type of view.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shd w:fill="F8F8F4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Top bar - Search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shd w:fill="F8F8F4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Scopes, workspaces, apps, and cases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shd w:fill="F8F8F4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Press Ctrl+K or Command+K and search by case, supplier, product, or owner.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Top bar - Notifications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Three decisions needing attention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Open a notification directly into its governed case.</w:t>
            </w:r>
          </w:p>
        </w:tc>
      </w:tr>
    </w:tbl>
    <w:p>
      <w:pPr>
        <w:spacing w:after="0"/>
      </w:pPr>
    </w:p>
    <w:p>
      <w:pPr>
        <w:pStyle w:val="Heading2"/>
      </w:pPr>
      <w:r>
        <w:t>Read a scope dashboard</w:t>
      </w:r>
    </w:p>
    <w:p>
      <w:pPr>
        <w:pStyle w:val="ListNumber"/>
        <w:spacing w:after="100" w:line="300" w:lineRule="auto"/>
        <w:ind w:left="540" w:hanging="271"/>
      </w:pPr>
      <w:r>
        <w:rPr>
          <w:rFonts w:ascii="Calibri" w:hAnsi="Calibri"/>
          <w:b/>
          <w:color w:val="111815"/>
        </w:rPr>
        <w:t xml:space="preserve">Opening narrative. </w:t>
      </w:r>
      <w:r>
        <w:rPr>
          <w:rFonts w:ascii="Calibri" w:hAnsi="Calibri"/>
          <w:color w:val="111815"/>
        </w:rPr>
        <w:t>Confirms the selected operating scope and the question that dashboard is designed to answer.</w:t>
      </w:r>
    </w:p>
    <w:p>
      <w:pPr>
        <w:pStyle w:val="ListNumber"/>
        <w:spacing w:after="100" w:line="300" w:lineRule="auto"/>
        <w:ind w:left="540" w:hanging="271"/>
      </w:pPr>
      <w:r>
        <w:rPr>
          <w:rFonts w:ascii="Calibri" w:hAnsi="Calibri"/>
          <w:b/>
          <w:color w:val="111815"/>
        </w:rPr>
        <w:t xml:space="preserve">Metric row. </w:t>
      </w:r>
      <w:r>
        <w:rPr>
          <w:rFonts w:ascii="Calibri" w:hAnsi="Calibri"/>
          <w:color w:val="111815"/>
        </w:rPr>
        <w:t>Summarizes spend, goods in motion, open orders, suppliers, OTIF, disruption, cash, and protected value.</w:t>
      </w:r>
    </w:p>
    <w:p>
      <w:pPr>
        <w:pStyle w:val="ListNumber"/>
        <w:spacing w:after="100" w:line="300" w:lineRule="auto"/>
        <w:ind w:left="540" w:hanging="271"/>
      </w:pPr>
      <w:r>
        <w:rPr>
          <w:rFonts w:ascii="Calibri" w:hAnsi="Calibri"/>
          <w:b/>
          <w:color w:val="111815"/>
        </w:rPr>
        <w:t xml:space="preserve">Decisions in Motion. </w:t>
      </w:r>
      <w:r>
        <w:rPr>
          <w:rFonts w:ascii="Calibri" w:hAnsi="Calibri"/>
          <w:color w:val="111815"/>
        </w:rPr>
        <w:t>Shows the most relevant governed cases. Select a card to open the shared case context.</w:t>
      </w:r>
    </w:p>
    <w:p>
      <w:pPr>
        <w:pStyle w:val="ListNumber"/>
        <w:spacing w:after="100" w:line="300" w:lineRule="auto"/>
        <w:ind w:left="540" w:hanging="271"/>
      </w:pPr>
      <w:r>
        <w:rPr>
          <w:rFonts w:ascii="Calibri" w:hAnsi="Calibri"/>
          <w:b/>
          <w:color w:val="111815"/>
        </w:rPr>
        <w:t xml:space="preserve">Network map. </w:t>
      </w:r>
      <w:r>
        <w:rPr>
          <w:rFonts w:ascii="Calibri" w:hAnsi="Calibri"/>
          <w:color w:val="111815"/>
        </w:rPr>
        <w:t>Select a node to inspect its connected demand, value, movements, and dependency path.</w:t>
      </w:r>
    </w:p>
    <w:p>
      <w:pPr>
        <w:pStyle w:val="ListNumber"/>
        <w:spacing w:after="100" w:line="300" w:lineRule="auto"/>
        <w:ind w:left="540" w:hanging="271"/>
      </w:pPr>
      <w:r>
        <w:rPr>
          <w:rFonts w:ascii="Calibri" w:hAnsi="Calibri"/>
          <w:b/>
          <w:color w:val="111815"/>
        </w:rPr>
        <w:t xml:space="preserve">Intelligence and money flow. </w:t>
      </w:r>
      <w:r>
        <w:rPr>
          <w:rFonts w:ascii="Calibri" w:hAnsi="Calibri"/>
          <w:color w:val="111815"/>
        </w:rPr>
        <w:t>Connects external change to company exposure, cash, margin, and working capital.</w:t>
      </w:r>
    </w:p>
    <w:p>
      <w:pPr>
        <w:pStyle w:val="ListNumber"/>
        <w:spacing w:after="100" w:line="300" w:lineRule="auto"/>
        <w:ind w:left="540" w:hanging="271"/>
      </w:pPr>
      <w:r>
        <w:rPr>
          <w:rFonts w:ascii="Calibri" w:hAnsi="Calibri"/>
          <w:b/>
          <w:color w:val="111815"/>
        </w:rPr>
        <w:t xml:space="preserve">Movement and supplier registers. </w:t>
      </w:r>
      <w:r>
        <w:rPr>
          <w:rFonts w:ascii="Calibri" w:hAnsi="Calibri"/>
          <w:color w:val="111815"/>
        </w:rPr>
        <w:t>Provides operational detail before jumping into RiskRadar or Network Optimizer.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7D8"/>
            <w:tcBorders>
              <w:start w:val="single" w:sz="24" w:color="D7FF3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11815"/>
                <w:sz w:val="18"/>
              </w:rPr>
              <w:t xml:space="preserve">NAVIGATION CUE  </w:t>
            </w:r>
            <w:r>
              <w:rPr>
                <w:rFonts w:ascii="Calibri" w:hAnsi="Calibri"/>
                <w:color w:val="111815"/>
                <w:sz w:val="20"/>
              </w:rPr>
              <w:t>Whenever a decision card, notification, or search result is opened, the URL gains a case parameter. That CASE identifier is the thread connecting the rest of the experience.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after="100"/>
        <w:jc w:val="left"/>
      </w:pPr>
      <w:r>
        <w:rPr>
          <w:rFonts w:ascii="Calibri" w:hAnsi="Calibri"/>
          <w:b/>
          <w:color w:val="69736D"/>
          <w:sz w:val="17"/>
        </w:rPr>
        <w:t>03 / DECISION OPERATIONS</w:t>
      </w:r>
    </w:p>
    <w:p>
      <w:pPr>
        <w:pStyle w:val="Heading1"/>
      </w:pPr>
      <w:r>
        <w:t>Work through a governed decision</w:t>
      </w:r>
    </w:p>
    <w:p>
      <w:pPr>
        <w:pStyle w:val="Heading2"/>
      </w:pPr>
      <w:r>
        <w:t>Decision Inbox</w:t>
      </w:r>
    </w:p>
    <w:p>
      <w:r>
        <w:rPr>
          <w:rFonts w:ascii="Calibri" w:hAnsi="Calibri"/>
          <w:color w:val="111815"/>
        </w:rPr>
        <w:t>The inbox is the portfolio view. It shows which decisions matter now, what value is exposed or recoverable, where each case sits in the six-step lifecycle, and which applications contributed to it.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111815"/>
        </w:rPr>
        <w:t>Use All for the full scope queue; use Critical, Approval, Execution, or Measure to isolate work by operating need.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111815"/>
        </w:rPr>
        <w:t>Search by CASE ID, supplier, material, route, product, entity, or owner.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111815"/>
        </w:rPr>
        <w:t>Select any row to open the Case Workspace for that decision.</w:t>
      </w:r>
    </w:p>
    <w:p>
      <w:pPr>
        <w:pStyle w:val="Heading2"/>
      </w:pPr>
      <w:r>
        <w:t>Case Workspace</w:t>
      </w:r>
    </w:p>
    <w:p>
      <w:r>
        <w:rPr>
          <w:rFonts w:ascii="Calibri" w:hAnsi="Calibri"/>
          <w:color w:val="111815"/>
        </w:rPr>
        <w:t>The case workspace is the synthesis surface. It converts many analytical outputs into one explainable recommendation with retained evidence and traceability.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111815"/>
        </w:rPr>
        <w:t>Lifecycle rail: Detect, Validate, Simulate, Approve, Execute, and Measure.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111815"/>
        </w:rPr>
        <w:t>Five-app synthesis: contribution, value, state, freshness, and method code from each application.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111815"/>
        </w:rPr>
        <w:t>Scenario Lab: protected value, service, cost, cash, residual risk, and carbon trade-offs.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111815"/>
        </w:rPr>
        <w:t>Traceability: affected entities, L0 variable IDs, OR method codes, and evidence ledger.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111815"/>
        </w:rPr>
        <w:t>Outcome contract: baseline, target, realized result, and measurement window.</w:t>
      </w:r>
    </w:p>
    <w:p>
      <w:pPr>
        <w:pStyle w:val="Heading2"/>
      </w:pPr>
      <w:r>
        <w:t>Action Room</w:t>
      </w:r>
    </w:p>
    <w:p>
      <w:r>
        <w:rPr>
          <w:rFonts w:ascii="Calibri" w:hAnsi="Calibri"/>
          <w:color w:val="111815"/>
        </w:rPr>
        <w:t>The Action Room converts an agreed scenario into controlled execution. It retains the recommendation and scenario economics while exposing approval authority and work packages.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111815"/>
        </w:rPr>
        <w:t>Approve and release moves an eligible case into Execute and marks it Executing in the concept state.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111815"/>
        </w:rPr>
        <w:t>Request changes returns the case to Simulate and marks it In analysis.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111815"/>
        </w:rPr>
        <w:t>Execution tasks show owner, due time, readiness, blockers, and measurement responsibility.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1EE"/>
            <w:tcBorders>
              <w:start w:val="single" w:sz="24" w:color="F16F5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11815"/>
                <w:sz w:val="18"/>
              </w:rPr>
              <w:t xml:space="preserve">CONCEPT BEHAVIOR  </w:t>
            </w:r>
            <w:r>
              <w:rPr>
                <w:rFonts w:ascii="Calibri" w:hAnsi="Calibri"/>
                <w:color w:val="111815"/>
                <w:sz w:val="20"/>
              </w:rPr>
              <w:t>Approval and task changes are interactive in the browser session but are not written to an operational backend.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after="100"/>
        <w:jc w:val="left"/>
      </w:pPr>
      <w:r>
        <w:rPr>
          <w:rFonts w:ascii="Calibri" w:hAnsi="Calibri"/>
          <w:b/>
          <w:color w:val="69736D"/>
          <w:sz w:val="17"/>
        </w:rPr>
        <w:t>04 / CONNECTED APPLICATIONS</w:t>
      </w:r>
    </w:p>
    <w:p>
      <w:pPr>
        <w:pStyle w:val="Heading1"/>
      </w:pPr>
      <w:r>
        <w:t>Use the right application for the question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3560"/>
        <w:gridCol w:w="390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1181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APPLICATION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1181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QUESTION ANSWERED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1181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CASE CONTRIBUTION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RiskRadar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What can stop production, and how does the disruption propagate?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Exposure path, probability, dependency, recoverability, and interruption value.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shd w:fill="F8F8F4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Network Optimizer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shd w:fill="F8F8F4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Which response is feasible and best under explicit constraints?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shd w:fill="F8F8F4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Sourcing, allocation, production, inventory, logistics, service, cost, and carbon scenarios.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FlowLens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Where is money exposed, delayed, or trapped?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Revenue, margin, inventory, premium freight, receivables, and working-capital consequences.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shd w:fill="F8F8F4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DemandSense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shd w:fill="F8F8F4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What demand should the network protect?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shd w:fill="F8F8F4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Consensus, downside, upside, and constrained-supply demand scenarios.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SupplierGraph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Where are dependencies and credible alternatives?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Ownership, tier, capability, qualification, site, evidence, and alternative-source fit.</w:t>
            </w:r>
          </w:p>
        </w:tc>
      </w:tr>
    </w:tbl>
    <w:p>
      <w:pPr>
        <w:spacing w:after="0"/>
      </w:pPr>
    </w:p>
    <w:p>
      <w:pPr>
        <w:pStyle w:val="Heading2"/>
      </w:pPr>
      <w:r>
        <w:t>Keep the case context while exploring</w:t>
      </w:r>
    </w:p>
    <w:p>
      <w:r>
        <w:t>Each decision application opens with one unified decision command bar. It keeps the CASE ID, application contribution, lifecycle state, governed data freshness, Case Workspace link, and Action Room handoff together.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111815"/>
        </w:rPr>
        <w:t>Select Open case to return to the Case Workspace.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111815"/>
        </w:rPr>
        <w:t>Select Action Room to move directly to approval and execution controls.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111815"/>
        </w:rPr>
        <w:t>Select Inspect Agent Hub to review the data context feeding the application.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111815"/>
        </w:rPr>
        <w:t>Use the browser Back button to return through the exact path; Maya restores view, scope, and case from the URL.</w:t>
      </w:r>
    </w:p>
    <w:p>
      <w:pPr>
        <w:pStyle w:val="Heading2"/>
      </w:pPr>
      <w:r>
        <w:t>Data workspaces</w:t>
      </w:r>
    </w:p>
    <w:p>
      <w:r>
        <w:rPr>
          <w:rFonts w:ascii="Calibri" w:hAnsi="Calibri"/>
          <w:color w:val="111815"/>
        </w:rPr>
        <w:t>Data Agent Hub explains source coverage, freshness, quality, policy boundary, and ingestion state. Knowledge Graph explains resolved entities, relationships, evidence provenance, application use, and mapping exceptions.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7D8"/>
            <w:tcBorders>
              <w:start w:val="single" w:sz="24" w:color="D7FF3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11815"/>
                <w:sz w:val="18"/>
              </w:rPr>
              <w:t xml:space="preserve">TRUST PATTERN  </w:t>
            </w:r>
            <w:r>
              <w:rPr>
                <w:rFonts w:ascii="Calibri" w:hAnsi="Calibri"/>
                <w:color w:val="111815"/>
                <w:sz w:val="20"/>
              </w:rPr>
              <w:t>When an output is challenged, move from application result to Case Workspace evidence, then to Knowledge Graph provenance or Data Agent Hub freshness.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Read the application operating model</w:t>
      </w:r>
    </w:p>
    <w:p>
      <w:pPr/>
      <w:r>
        <w:t>Every application now includes the same four-tab operating model. This keeps the working dashboard clean while making the decision logic, governance, and implementation depth available on demand.</w:t>
      </w:r>
    </w:p>
    <w:p>
      <w:pPr>
        <w:pStyle w:val="ListBullet"/>
      </w:pPr>
      <w:r>
        <w:t>Operating model: decision question, primary users, cadence, planning horizon, decision rights, accountable workflow gates, and exit criteria.</w:t>
      </w:r>
    </w:p>
    <w:p>
      <w:pPr>
        <w:pStyle w:val="ListBullet"/>
      </w:pPr>
      <w:r>
        <w:t>Methods: four application-specific analytical or operations-research methods, including the formulation, intended use, and validation requirement.</w:t>
      </w:r>
    </w:p>
    <w:p>
      <w:pPr>
        <w:pStyle w:val="ListBullet"/>
      </w:pPr>
      <w:r>
        <w:t>Data &amp; controls: governed input contracts by grain, source, freshness, and fitness checks, plus the controls that prevent unsafe automation.</w:t>
      </w:r>
    </w:p>
    <w:p>
      <w:pPr>
        <w:pStyle w:val="ListBullet"/>
      </w:pPr>
      <w:r>
        <w:t>Measure &amp; hand off: value and model-health KPIs, controlled downstream artifacts, owners, targets, and explicit interpretation limits.</w:t>
      </w:r>
    </w:p>
    <w:p>
      <w:pPr>
        <w:pStyle w:val="Heading2"/>
      </w:pPr>
      <w:r>
        <w:t>Application decision map</w:t>
      </w:r>
    </w:p>
    <w:p>
      <w:pPr>
        <w:pStyle w:val="ListBullet"/>
      </w:pPr>
      <w:r>
        <w:t>RiskRadar - prioritize emerging threats using Bayesian updates, hazard models, Monte Carlo exposure, graph criticality, and tail-risk measures.</w:t>
      </w:r>
    </w:p>
    <w:p>
      <w:pPr>
        <w:pStyle w:val="ListBullet"/>
      </w:pPr>
      <w:r>
        <w:t>Network Optimizer - select feasible sourcing, production, inventory, logistics, and customer allocations using MILP, stochastic and robust optimization, with a rapid greedy-repair fallback.</w:t>
      </w:r>
    </w:p>
    <w:p>
      <w:pPr>
        <w:pStyle w:val="ListBullet"/>
      </w:pPr>
      <w:r>
        <w:t>FlowLens - connect physical execution to working capital and margin using cash-conversion decomposition, cost-to-serve, min-cost flow, and causal benefit measurement.</w:t>
      </w:r>
    </w:p>
    <w:p>
      <w:pPr>
        <w:pStyle w:val="ListBullet"/>
      </w:pPr>
      <w:r>
        <w:t>DemandSense - create explainable demand ranges using hierarchical ensembles, causal regression, Bayesian prediction, and newsvendor service segmentation.</w:t>
      </w:r>
    </w:p>
    <w:p>
      <w:pPr>
        <w:pStyle w:val="ListBullet"/>
      </w:pPr>
      <w:r>
        <w:t>SupplierGraph - expose n-tier concentration and qualify alternatives using network science, multi-criteria analysis, capability matching, and should-cost logic.</w:t>
      </w:r>
    </w:p>
    <w:p>
      <w:pPr>
        <w:pStyle w:val="ListBullet"/>
      </w:pPr>
      <w:r>
        <w:t>Data Agent Hub - operate source ingestion through change capture, probabilistic entity resolution, semantic conformance, and policy enforcement.</w:t>
      </w:r>
    </w:p>
    <w:p>
      <w:pPr>
        <w:pStyle w:val="ListBullet"/>
      </w:pPr>
      <w:r>
        <w:t>Operational Knowledge Graph - serve time-aware evidence through temporal graphs, fact fusion, dependency reasoning, and governed graph features.</w:t>
      </w:r>
    </w:p>
    <w:p>
      <w:pPr/>
    </w:p>
    <w:p>
      <w:pPr>
        <w:keepNext/>
        <w:spacing w:after="100"/>
        <w:jc w:val="left"/>
      </w:pPr>
      <w:r>
        <w:rPr>
          <w:rFonts w:ascii="Calibri" w:hAnsi="Calibri"/>
          <w:b/>
          <w:color w:val="69736D"/>
          <w:sz w:val="17"/>
        </w:rPr>
        <w:t>05 / GUIDED CONCEPT DEMONSTRATION</w:t>
      </w:r>
    </w:p>
    <w:p>
      <w:pPr>
        <w:pStyle w:val="Heading1"/>
      </w:pPr>
      <w:r>
        <w:t>Walk CASE-1042 from signal to action</w:t>
      </w:r>
    </w:p>
    <w:p>
      <w:r>
        <w:rPr>
          <w:rFonts w:ascii="Calibri" w:hAnsi="Calibri"/>
          <w:color w:val="111815"/>
        </w:rPr>
        <w:t>Use this eight-to-ten-minute script to demonstrate the full platform story with the critical graphite-capacity case.</w:t>
      </w:r>
    </w:p>
    <w:p>
      <w:pPr>
        <w:pStyle w:val="ListNumber"/>
        <w:spacing w:after="100" w:line="300" w:lineRule="auto"/>
        <w:ind w:left="540" w:hanging="271"/>
      </w:pPr>
      <w:r>
        <w:rPr>
          <w:rFonts w:ascii="Calibri" w:hAnsi="Calibri"/>
          <w:b/>
          <w:color w:val="111815"/>
        </w:rPr>
        <w:t xml:space="preserve">Open Company platform. </w:t>
      </w:r>
      <w:r>
        <w:rPr>
          <w:rFonts w:ascii="Calibri" w:hAnsi="Calibri"/>
          <w:color w:val="111815"/>
        </w:rPr>
        <w:t>Confirm Apex Mobility as the Active Context. Use the metric row and network map to establish company exposure.</w:t>
      </w:r>
    </w:p>
    <w:p>
      <w:pPr>
        <w:pStyle w:val="ListNumber"/>
        <w:spacing w:after="100" w:line="300" w:lineRule="auto"/>
        <w:ind w:left="540" w:hanging="271"/>
      </w:pPr>
      <w:r>
        <w:rPr>
          <w:rFonts w:ascii="Calibri" w:hAnsi="Calibri"/>
          <w:b/>
          <w:color w:val="111815"/>
        </w:rPr>
        <w:t xml:space="preserve">Open Decisions in Motion. </w:t>
      </w:r>
      <w:r>
        <w:rPr>
          <w:rFonts w:ascii="Calibri" w:hAnsi="Calibri"/>
          <w:color w:val="111815"/>
        </w:rPr>
        <w:t>Select CASE-1042, Secure alternate graphite volume. Point out $4.2M margin exposure, 428 priority orders, and the two-hour decision window.</w:t>
      </w:r>
    </w:p>
    <w:p>
      <w:pPr>
        <w:pStyle w:val="ListNumber"/>
        <w:spacing w:after="100" w:line="300" w:lineRule="auto"/>
        <w:ind w:left="540" w:hanging="271"/>
      </w:pPr>
      <w:r>
        <w:rPr>
          <w:rFonts w:ascii="Calibri" w:hAnsi="Calibri"/>
          <w:b/>
          <w:color w:val="111815"/>
        </w:rPr>
        <w:t xml:space="preserve">Review lifecycle position. </w:t>
      </w:r>
      <w:r>
        <w:rPr>
          <w:rFonts w:ascii="Calibri" w:hAnsi="Calibri"/>
          <w:color w:val="111815"/>
        </w:rPr>
        <w:t>The case is Awaiting approval at Approve. Earlier Detect, Validate, and Simulate steps are complete.</w:t>
      </w:r>
    </w:p>
    <w:p>
      <w:pPr>
        <w:pStyle w:val="ListNumber"/>
        <w:spacing w:after="100" w:line="300" w:lineRule="auto"/>
        <w:ind w:left="540" w:hanging="271"/>
      </w:pPr>
      <w:r>
        <w:rPr>
          <w:rFonts w:ascii="Calibri" w:hAnsi="Calibri"/>
          <w:b/>
          <w:color w:val="111815"/>
        </w:rPr>
        <w:t xml:space="preserve">Explain five-app synthesis. </w:t>
      </w:r>
      <w:r>
        <w:rPr>
          <w:rFonts w:ascii="Calibri" w:hAnsi="Calibri"/>
          <w:color w:val="111815"/>
        </w:rPr>
        <w:t>RiskRadar quantifies exposure; SupplierGraph resolves alternatives; DemandSense sets protected demand; Network Optimizer produces feasible plans; FlowLens translates the plan into protected margin and cash.</w:t>
      </w:r>
    </w:p>
    <w:p>
      <w:pPr>
        <w:pStyle w:val="ListNumber"/>
        <w:spacing w:after="100" w:line="300" w:lineRule="auto"/>
        <w:ind w:left="540" w:hanging="271"/>
      </w:pPr>
      <w:r>
        <w:rPr>
          <w:rFonts w:ascii="Calibri" w:hAnsi="Calibri"/>
          <w:b/>
          <w:color w:val="111815"/>
        </w:rPr>
        <w:t xml:space="preserve">Compare scenarios. </w:t>
      </w:r>
      <w:r>
        <w:rPr>
          <w:rFonts w:ascii="Calibri" w:hAnsi="Calibri"/>
          <w:color w:val="111815"/>
        </w:rPr>
        <w:t>Contrast Hold current plan, Balanced response, and Service-first response across value, service, cost, cash, residual risk, and carbon.</w:t>
      </w:r>
    </w:p>
    <w:p>
      <w:pPr>
        <w:pStyle w:val="ListNumber"/>
        <w:spacing w:after="100" w:line="300" w:lineRule="auto"/>
        <w:ind w:left="540" w:hanging="271"/>
      </w:pPr>
      <w:r>
        <w:rPr>
          <w:rFonts w:ascii="Calibri" w:hAnsi="Calibri"/>
          <w:b/>
          <w:color w:val="111815"/>
        </w:rPr>
        <w:t xml:space="preserve">Open Network Optimizer. </w:t>
      </w:r>
      <w:r>
        <w:rPr>
          <w:rFonts w:ascii="Calibri" w:hAnsi="Calibri"/>
          <w:color w:val="111815"/>
        </w:rPr>
        <w:t>Use the case-context strip to show that CASE-1042 persists. Adjust constraints or run the deterministic model if desired.</w:t>
      </w:r>
    </w:p>
    <w:p>
      <w:pPr>
        <w:pStyle w:val="ListNumber"/>
        <w:spacing w:after="100" w:line="300" w:lineRule="auto"/>
        <w:ind w:left="540" w:hanging="271"/>
      </w:pPr>
      <w:r>
        <w:rPr>
          <w:rFonts w:ascii="Calibri" w:hAnsi="Calibri"/>
          <w:b/>
          <w:color w:val="111815"/>
        </w:rPr>
        <w:t xml:space="preserve">Return to the case. </w:t>
      </w:r>
      <w:r>
        <w:rPr>
          <w:rFonts w:ascii="Calibri" w:hAnsi="Calibri"/>
          <w:color w:val="111815"/>
        </w:rPr>
        <w:t>Review L0 variables, M-method codes, affected entities, and the evidence ledger.</w:t>
      </w:r>
    </w:p>
    <w:p>
      <w:pPr>
        <w:pStyle w:val="ListNumber"/>
        <w:spacing w:after="100" w:line="300" w:lineRule="auto"/>
        <w:ind w:left="540" w:hanging="271"/>
      </w:pPr>
      <w:r>
        <w:rPr>
          <w:rFonts w:ascii="Calibri" w:hAnsi="Calibri"/>
          <w:b/>
          <w:color w:val="111815"/>
        </w:rPr>
        <w:t xml:space="preserve">Open Action Room. </w:t>
      </w:r>
      <w:r>
        <w:rPr>
          <w:rFonts w:ascii="Calibri" w:hAnsi="Calibri"/>
          <w:color w:val="111815"/>
        </w:rPr>
        <w:t>Review the recommendation, authority matrix, and released work packages. Approve and release, or request changes to return to simulation.</w:t>
      </w:r>
    </w:p>
    <w:p>
      <w:pPr>
        <w:pStyle w:val="ListNumber"/>
        <w:spacing w:after="100" w:line="300" w:lineRule="auto"/>
        <w:ind w:left="540" w:hanging="271"/>
      </w:pPr>
      <w:r>
        <w:rPr>
          <w:rFonts w:ascii="Calibri" w:hAnsi="Calibri"/>
          <w:b/>
          <w:color w:val="111815"/>
        </w:rPr>
        <w:t xml:space="preserve">Close with Measure. </w:t>
      </w:r>
      <w:r>
        <w:rPr>
          <w:rFonts w:ascii="Calibri" w:hAnsi="Calibri"/>
          <w:color w:val="111815"/>
        </w:rPr>
        <w:t>Explain that the outcome contract compares the $4.2M baseline with the $3.6M protection target over 12 weeks.</w:t>
      </w:r>
    </w:p>
    <w:p>
      <w:pPr>
        <w:pStyle w:val="Heading2"/>
      </w:pPr>
      <w:r>
        <w:t>Suggested narration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7D8"/>
            <w:tcBorders>
              <w:start w:val="single" w:sz="24" w:color="D7FF3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11815"/>
                <w:sz w:val="18"/>
              </w:rPr>
              <w:t xml:space="preserve">STORYLINE  </w:t>
            </w:r>
            <w:r>
              <w:rPr>
                <w:rFonts w:ascii="Calibri" w:hAnsi="Calibri"/>
                <w:color w:val="111815"/>
                <w:sz w:val="20"/>
              </w:rPr>
              <w:t>Maya does not present five disconnected analytics tools. It maintains one governed decision object while specialist applications add evidence, scenarios, financial meaning, authority, and measured outcomes.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after="100"/>
        <w:jc w:val="left"/>
      </w:pPr>
      <w:r>
        <w:rPr>
          <w:rFonts w:ascii="Calibri" w:hAnsi="Calibri"/>
          <w:b/>
          <w:color w:val="69736D"/>
          <w:sz w:val="17"/>
        </w:rPr>
        <w:t>06 / SHORTCUTS AND REFERENCE</w:t>
      </w:r>
    </w:p>
    <w:p>
      <w:pPr>
        <w:pStyle w:val="Heading1"/>
      </w:pPr>
      <w:r>
        <w:t>Use deterministic deep links</w:t>
      </w:r>
    </w:p>
    <w:p>
      <w:r>
        <w:rPr>
          <w:rFonts w:ascii="Calibri" w:hAnsi="Calibri"/>
          <w:color w:val="111815"/>
        </w:rPr>
        <w:t>The concept reads three URL parameters. These links can be bookmarked, shared for demonstrations, or used to start directly at a specific stage.</w:t>
      </w:r>
    </w:p>
    <w:p>
      <w:pPr>
        <w:spacing w:after="80"/>
      </w:pPr>
      <w:r>
        <w:rPr>
          <w:rFonts w:ascii="Calibri" w:hAnsi="Calibri"/>
          <w:b/>
          <w:color w:val="111815"/>
          <w:sz w:val="19"/>
        </w:rPr>
        <w:t xml:space="preserve">Company dashboard: </w:t>
      </w:r>
      <w:r>
        <w:rPr>
          <w:rFonts w:ascii="Consolas" w:hAnsi="Consolas"/>
          <w:color w:val="1A2420"/>
          <w:sz w:val="18"/>
        </w:rPr>
        <w:t>/?view=company&amp;scope=company&amp;case=CASE-1042</w:t>
      </w:r>
    </w:p>
    <w:p>
      <w:pPr>
        <w:spacing w:after="80"/>
      </w:pPr>
      <w:r>
        <w:rPr>
          <w:rFonts w:ascii="Calibri" w:hAnsi="Calibri"/>
          <w:b/>
          <w:color w:val="111815"/>
          <w:sz w:val="19"/>
        </w:rPr>
        <w:t xml:space="preserve">Decision Inbox: </w:t>
      </w:r>
      <w:r>
        <w:rPr>
          <w:rFonts w:ascii="Consolas" w:hAnsi="Consolas"/>
          <w:color w:val="1A2420"/>
          <w:sz w:val="18"/>
        </w:rPr>
        <w:t>/?view=decisions&amp;scope=company&amp;case=CASE-1042</w:t>
      </w:r>
    </w:p>
    <w:p>
      <w:pPr>
        <w:spacing w:after="80"/>
      </w:pPr>
      <w:r>
        <w:rPr>
          <w:rFonts w:ascii="Calibri" w:hAnsi="Calibri"/>
          <w:b/>
          <w:color w:val="111815"/>
          <w:sz w:val="19"/>
        </w:rPr>
        <w:t xml:space="preserve">Case Workspace: </w:t>
      </w:r>
      <w:r>
        <w:rPr>
          <w:rFonts w:ascii="Consolas" w:hAnsi="Consolas"/>
          <w:color w:val="1A2420"/>
          <w:sz w:val="18"/>
        </w:rPr>
        <w:t>/?view=case&amp;scope=company&amp;case=CASE-1042</w:t>
      </w:r>
    </w:p>
    <w:p>
      <w:pPr>
        <w:spacing w:after="80"/>
      </w:pPr>
      <w:r>
        <w:rPr>
          <w:rFonts w:ascii="Calibri" w:hAnsi="Calibri"/>
          <w:b/>
          <w:color w:val="111815"/>
          <w:sz w:val="19"/>
        </w:rPr>
        <w:t xml:space="preserve">Action Room: </w:t>
      </w:r>
      <w:r>
        <w:rPr>
          <w:rFonts w:ascii="Consolas" w:hAnsi="Consolas"/>
          <w:color w:val="1A2420"/>
          <w:sz w:val="18"/>
        </w:rPr>
        <w:t>/?view=action&amp;scope=company&amp;case=CASE-1042</w:t>
      </w:r>
    </w:p>
    <w:p>
      <w:pPr>
        <w:spacing w:after="80"/>
      </w:pPr>
      <w:r>
        <w:rPr>
          <w:rFonts w:ascii="Calibri" w:hAnsi="Calibri"/>
          <w:b/>
          <w:color w:val="111815"/>
          <w:sz w:val="19"/>
        </w:rPr>
        <w:t xml:space="preserve">Network Optimizer: </w:t>
      </w:r>
      <w:r>
        <w:rPr>
          <w:rFonts w:ascii="Consolas" w:hAnsi="Consolas"/>
          <w:color w:val="1A2420"/>
          <w:sz w:val="18"/>
        </w:rPr>
        <w:t>/?view=optimizer&amp;scope=company&amp;case=CASE-1042</w:t>
      </w:r>
    </w:p>
    <w:p>
      <w:pPr>
        <w:pStyle w:val="Heading2"/>
      </w:pPr>
      <w:r>
        <w:t>Keyboard and shell controls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1181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CONTROL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1181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RESULT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Ctrl+K or Command+K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Open global search.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F8F8F4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Escape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shd w:fill="F8F8F4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Close search, notifications, or the mobile navigation rail.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Browser Back / Forward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Restore the previous or next view, scope, and case.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F8F8F4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Active Context selector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shd w:fill="F8F8F4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Switch Global, APAC, or Apex Mobility while retaining the current workspace type.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Mobile menu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Open the complete left navigation on smaller screens.</w:t>
            </w:r>
          </w:p>
        </w:tc>
      </w:tr>
    </w:tbl>
    <w:p>
      <w:pPr>
        <w:spacing w:after="0"/>
      </w:pPr>
    </w:p>
    <w:p>
      <w:pPr>
        <w:pStyle w:val="Heading2"/>
      </w:pPr>
      <w:r>
        <w:t>If something looks wrong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111815"/>
        </w:rPr>
        <w:t>Unexpected scope: check the Active Context selector and the scope parameter in the URL.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111815"/>
        </w:rPr>
        <w:t>Unexpected case: search for the CASE ID or replace the case parameter with a valid synthetic case.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111815"/>
        </w:rPr>
        <w:t>No visual state change after refresh: interactive approvals are session-only concept behavior.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111815"/>
        </w:rPr>
        <w:t>Missing application context: open a case first, then choose an application from the left rail.</w:t>
      </w:r>
    </w:p>
    <w:p>
      <w:pPr>
        <w:pStyle w:val="Heading2"/>
      </w:pPr>
      <w:r>
        <w:t>Concept boundary</w:t>
      </w:r>
    </w:p>
    <w:p>
      <w:r>
        <w:rPr>
          <w:rFonts w:ascii="Calibri" w:hAnsi="Calibri"/>
          <w:color w:val="111815"/>
        </w:rPr>
        <w:t>All organizations, suppliers, products, orders, metrics, evidence, methods, scenarios, recommendations, approvals, and outcomes in Maya are synthetic. The experience has no business-data backend, operational connector, persistence layer, or write-back authority.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1EE"/>
            <w:tcBorders>
              <w:start w:val="single" w:sz="24" w:color="F16F5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11815"/>
                <w:sz w:val="18"/>
              </w:rPr>
              <w:t xml:space="preserve">USE RESPONSIBLY  </w:t>
            </w:r>
            <w:r>
              <w:rPr>
                <w:rFonts w:ascii="Calibri" w:hAnsi="Calibri"/>
                <w:color w:val="111815"/>
                <w:sz w:val="20"/>
              </w:rPr>
              <w:t>Present Maya as a concept experience demonstrating platform architecture and operating flow - not as a live control tower or production recommendation engine.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/>
        <w:color w:val="69736D"/>
        <w:sz w:val="16"/>
      </w:rPr>
      <w:t xml:space="preserve">PAGE </w:t>
    </w:r>
    <w:r>
      <w:rPr>
        <w:rFonts w:ascii="Calibri" w:hAnsi="Calibri"/>
        <w:b/>
        <w:color w:val="69736D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69736D"/>
        <w:sz w:val="16"/>
      </w:rPr>
      <w:t>MAYA  /  SUPPLY CHAIN RESILIENCE OS</w:t>
    </w:r>
    <w:r>
      <w:rPr>
        <w:rFonts w:ascii="Calibri" w:hAnsi="Calibri"/>
        <w:b/>
        <w:color w:val="69736D"/>
        <w:sz w:val="16"/>
      </w:rPr>
      <w:t xml:space="preserve">                                      CONCEPT NAVIGATION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11181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1181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11181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69736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Maya Navigation Guide</dc:title>
  <dc:subject>Supply Chain Resilience OS concept clickflow</dc:subject>
  <dc:creator>Maya Concept Team</dc:creator>
  <cp:keywords>Maya, supply chain, navigation, clickflow, decision operations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